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EF786" w14:textId="67CD9B30" w:rsidR="00A51F29" w:rsidRPr="00073AC1" w:rsidRDefault="00A51F29" w:rsidP="00073AC1">
      <w:pPr>
        <w:spacing w:after="0" w:line="240" w:lineRule="auto"/>
        <w:rPr>
          <w:b/>
          <w:sz w:val="28"/>
          <w:szCs w:val="20"/>
        </w:rPr>
      </w:pPr>
      <w:r w:rsidRPr="00073AC1">
        <w:rPr>
          <w:b/>
          <w:sz w:val="28"/>
          <w:szCs w:val="20"/>
        </w:rPr>
        <w:t>Evidence-Based Medicine curriculum</w:t>
      </w:r>
      <w:r w:rsidR="007C6EF8">
        <w:rPr>
          <w:b/>
          <w:sz w:val="28"/>
          <w:szCs w:val="20"/>
        </w:rPr>
        <w:t xml:space="preserve"> (2013-2014)</w:t>
      </w:r>
    </w:p>
    <w:p w14:paraId="03AB60ED" w14:textId="77777777" w:rsidR="00073AC1" w:rsidRPr="00073AC1" w:rsidRDefault="00073AC1" w:rsidP="00073AC1">
      <w:pPr>
        <w:spacing w:after="0" w:line="240" w:lineRule="auto"/>
        <w:rPr>
          <w:rFonts w:eastAsiaTheme="minorEastAsia"/>
          <w:color w:val="000000"/>
          <w:sz w:val="24"/>
          <w:szCs w:val="24"/>
          <w:lang w:val="en-US"/>
        </w:rPr>
      </w:pPr>
    </w:p>
    <w:p w14:paraId="7B5BEAE1" w14:textId="3D437AC2" w:rsidR="00A51F29" w:rsidRPr="007C6EF8" w:rsidRDefault="00073AC1" w:rsidP="00073AC1">
      <w:pPr>
        <w:spacing w:after="0" w:line="240" w:lineRule="auto"/>
        <w:rPr>
          <w:rFonts w:eastAsiaTheme="minorEastAsia"/>
          <w:color w:val="000000"/>
          <w:sz w:val="20"/>
          <w:szCs w:val="24"/>
          <w:lang w:val="en-US"/>
        </w:rPr>
      </w:pPr>
      <w:r w:rsidRPr="007C6EF8">
        <w:rPr>
          <w:rFonts w:eastAsiaTheme="minorEastAsia"/>
          <w:color w:val="000000"/>
          <w:sz w:val="20"/>
          <w:szCs w:val="24"/>
          <w:lang w:val="en-US"/>
        </w:rPr>
        <w:t xml:space="preserve">The core </w:t>
      </w:r>
      <w:r w:rsidR="00A51F29" w:rsidRPr="007C6EF8">
        <w:rPr>
          <w:rFonts w:eastAsiaTheme="minorEastAsia"/>
          <w:color w:val="000000"/>
          <w:sz w:val="20"/>
          <w:szCs w:val="24"/>
          <w:lang w:val="en-US"/>
        </w:rPr>
        <w:t>teaching for evidence-based medicin</w:t>
      </w:r>
      <w:r w:rsidRPr="007C6EF8">
        <w:rPr>
          <w:rFonts w:eastAsiaTheme="minorEastAsia"/>
          <w:color w:val="000000"/>
          <w:sz w:val="20"/>
          <w:szCs w:val="24"/>
          <w:lang w:val="en-US"/>
        </w:rPr>
        <w:t>e occurs in the following areas:</w:t>
      </w:r>
    </w:p>
    <w:p w14:paraId="104EA557" w14:textId="67B9A5C7" w:rsidR="00A51F29" w:rsidRPr="007C6EF8" w:rsidRDefault="00A51F29" w:rsidP="00073AC1">
      <w:pPr>
        <w:pStyle w:val="ListParagraph"/>
        <w:numPr>
          <w:ilvl w:val="0"/>
          <w:numId w:val="1"/>
        </w:numPr>
        <w:spacing w:after="0" w:line="240" w:lineRule="auto"/>
        <w:rPr>
          <w:rFonts w:eastAsiaTheme="minorEastAsia"/>
          <w:color w:val="000000"/>
          <w:sz w:val="20"/>
          <w:szCs w:val="24"/>
          <w:lang w:val="en-US"/>
        </w:rPr>
      </w:pPr>
      <w:r w:rsidRPr="007C6EF8">
        <w:rPr>
          <w:rFonts w:eastAsiaTheme="minorEastAsia"/>
          <w:color w:val="000000"/>
          <w:sz w:val="20"/>
          <w:szCs w:val="24"/>
          <w:lang w:val="en-US"/>
        </w:rPr>
        <w:t xml:space="preserve">Year 1 &amp; 2: Stats </w:t>
      </w:r>
    </w:p>
    <w:p w14:paraId="3429A7CA" w14:textId="628EF364" w:rsidR="00A51F29" w:rsidRPr="007C6EF8" w:rsidRDefault="00A51F29" w:rsidP="00073AC1">
      <w:pPr>
        <w:pStyle w:val="ListParagraph"/>
        <w:numPr>
          <w:ilvl w:val="0"/>
          <w:numId w:val="1"/>
        </w:numPr>
        <w:spacing w:after="0" w:line="240" w:lineRule="auto"/>
        <w:rPr>
          <w:rFonts w:eastAsiaTheme="minorEastAsia"/>
          <w:color w:val="000000"/>
          <w:sz w:val="20"/>
          <w:szCs w:val="24"/>
          <w:lang w:val="en-US"/>
        </w:rPr>
      </w:pPr>
      <w:r w:rsidRPr="007C6EF8">
        <w:rPr>
          <w:rFonts w:eastAsiaTheme="minorEastAsia"/>
          <w:color w:val="000000"/>
          <w:sz w:val="20"/>
          <w:szCs w:val="24"/>
          <w:lang w:val="en-US"/>
        </w:rPr>
        <w:t xml:space="preserve">Year 2:  Preclinical &amp; FHS </w:t>
      </w:r>
    </w:p>
    <w:p w14:paraId="3D16B82A" w14:textId="16F8D1A2" w:rsidR="00A51F29" w:rsidRPr="007C6EF8" w:rsidRDefault="000A1729" w:rsidP="00073AC1">
      <w:pPr>
        <w:pStyle w:val="ListParagraph"/>
        <w:numPr>
          <w:ilvl w:val="0"/>
          <w:numId w:val="1"/>
        </w:numPr>
        <w:spacing w:after="0" w:line="240" w:lineRule="auto"/>
        <w:rPr>
          <w:rFonts w:eastAsiaTheme="minorEastAsia"/>
          <w:color w:val="000000"/>
          <w:sz w:val="20"/>
          <w:szCs w:val="24"/>
          <w:lang w:val="en-US"/>
        </w:rPr>
      </w:pPr>
      <w:r>
        <w:rPr>
          <w:rFonts w:eastAsiaTheme="minorEastAsia"/>
          <w:color w:val="000000"/>
          <w:sz w:val="20"/>
          <w:szCs w:val="24"/>
          <w:lang w:val="en-US"/>
        </w:rPr>
        <w:t xml:space="preserve">Year 4: </w:t>
      </w:r>
    </w:p>
    <w:p w14:paraId="2BA3FD8C" w14:textId="0B4E5441" w:rsidR="00A51F29" w:rsidRPr="007C6EF8" w:rsidRDefault="00A51F29" w:rsidP="00073AC1">
      <w:pPr>
        <w:pStyle w:val="ListParagraph"/>
        <w:numPr>
          <w:ilvl w:val="0"/>
          <w:numId w:val="1"/>
        </w:numPr>
        <w:spacing w:after="0" w:line="240" w:lineRule="auto"/>
        <w:rPr>
          <w:rFonts w:eastAsiaTheme="minorEastAsia"/>
          <w:color w:val="000000"/>
          <w:sz w:val="20"/>
          <w:szCs w:val="24"/>
          <w:lang w:val="en-US"/>
        </w:rPr>
      </w:pPr>
      <w:r w:rsidRPr="007C6EF8">
        <w:rPr>
          <w:rFonts w:eastAsiaTheme="minorEastAsia"/>
          <w:color w:val="000000"/>
          <w:sz w:val="20"/>
          <w:szCs w:val="24"/>
          <w:lang w:val="en-US"/>
        </w:rPr>
        <w:t>La</w:t>
      </w:r>
      <w:r w:rsidR="000A1729">
        <w:rPr>
          <w:rFonts w:eastAsiaTheme="minorEastAsia"/>
          <w:color w:val="000000"/>
          <w:sz w:val="20"/>
          <w:szCs w:val="24"/>
          <w:lang w:val="en-US"/>
        </w:rPr>
        <w:t xml:space="preserve">boratory Medicine </w:t>
      </w:r>
    </w:p>
    <w:p w14:paraId="4D42B8FA" w14:textId="369A7ABE" w:rsidR="00A51F29" w:rsidRPr="007C6EF8" w:rsidRDefault="000A1729" w:rsidP="00073AC1">
      <w:pPr>
        <w:pStyle w:val="ListParagraph"/>
        <w:numPr>
          <w:ilvl w:val="0"/>
          <w:numId w:val="1"/>
        </w:numPr>
        <w:spacing w:after="0" w:line="240" w:lineRule="auto"/>
        <w:rPr>
          <w:rFonts w:eastAsiaTheme="minorEastAsia"/>
          <w:color w:val="000000"/>
          <w:sz w:val="20"/>
          <w:szCs w:val="24"/>
          <w:lang w:val="en-US"/>
        </w:rPr>
      </w:pPr>
      <w:r>
        <w:rPr>
          <w:rFonts w:eastAsiaTheme="minorEastAsia"/>
          <w:color w:val="000000"/>
          <w:sz w:val="20"/>
          <w:szCs w:val="24"/>
          <w:lang w:val="en-US"/>
        </w:rPr>
        <w:t xml:space="preserve">Surgery  </w:t>
      </w:r>
      <w:r w:rsidR="00A51F29" w:rsidRPr="007C6EF8">
        <w:rPr>
          <w:rFonts w:eastAsiaTheme="minorEastAsia"/>
          <w:color w:val="000000"/>
          <w:sz w:val="20"/>
          <w:szCs w:val="24"/>
          <w:lang w:val="en-US"/>
        </w:rPr>
        <w:t xml:space="preserve"> </w:t>
      </w:r>
    </w:p>
    <w:p w14:paraId="13BF35DA" w14:textId="1A458EDD" w:rsidR="00A51F29" w:rsidRPr="007C6EF8" w:rsidRDefault="00A51F29" w:rsidP="00073AC1">
      <w:pPr>
        <w:pStyle w:val="ListParagraph"/>
        <w:numPr>
          <w:ilvl w:val="0"/>
          <w:numId w:val="1"/>
        </w:numPr>
        <w:spacing w:after="0" w:line="240" w:lineRule="auto"/>
        <w:rPr>
          <w:rFonts w:eastAsiaTheme="minorEastAsia"/>
          <w:color w:val="000000"/>
          <w:sz w:val="20"/>
          <w:szCs w:val="24"/>
          <w:lang w:val="en-US"/>
        </w:rPr>
      </w:pPr>
      <w:r w:rsidRPr="007C6EF8">
        <w:rPr>
          <w:rFonts w:eastAsiaTheme="minorEastAsia"/>
          <w:color w:val="000000"/>
          <w:sz w:val="20"/>
          <w:szCs w:val="24"/>
          <w:lang w:val="en-US"/>
        </w:rPr>
        <w:t xml:space="preserve">Year 5: Public Health – </w:t>
      </w:r>
      <w:proofErr w:type="gramStart"/>
      <w:r w:rsidRPr="007C6EF8">
        <w:rPr>
          <w:rFonts w:eastAsiaTheme="minorEastAsia"/>
          <w:color w:val="000000"/>
          <w:sz w:val="20"/>
          <w:szCs w:val="24"/>
          <w:lang w:val="en-US"/>
        </w:rPr>
        <w:t xml:space="preserve">( </w:t>
      </w:r>
      <w:proofErr w:type="gramEnd"/>
    </w:p>
    <w:p w14:paraId="2981964F" w14:textId="55B4F5C6" w:rsidR="00A51F29" w:rsidRPr="007C6EF8" w:rsidRDefault="00A51F29" w:rsidP="00073AC1">
      <w:pPr>
        <w:pStyle w:val="ListParagraph"/>
        <w:numPr>
          <w:ilvl w:val="0"/>
          <w:numId w:val="1"/>
        </w:numPr>
        <w:spacing w:after="0" w:line="240" w:lineRule="auto"/>
        <w:rPr>
          <w:b/>
          <w:sz w:val="16"/>
          <w:szCs w:val="20"/>
        </w:rPr>
      </w:pPr>
      <w:r w:rsidRPr="007C6EF8">
        <w:rPr>
          <w:rFonts w:eastAsiaTheme="minorEastAsia"/>
          <w:color w:val="000000"/>
          <w:sz w:val="20"/>
          <w:szCs w:val="24"/>
          <w:lang w:val="en-US"/>
        </w:rPr>
        <w:t xml:space="preserve">Graduate Entry Year 1  </w:t>
      </w:r>
    </w:p>
    <w:p w14:paraId="007F0245" w14:textId="77777777" w:rsidR="00073AC1" w:rsidRPr="00073AC1" w:rsidRDefault="00073AC1" w:rsidP="00073AC1">
      <w:pPr>
        <w:spacing w:after="0" w:line="240" w:lineRule="auto"/>
        <w:rPr>
          <w:b/>
          <w:sz w:val="20"/>
          <w:szCs w:val="20"/>
        </w:rPr>
      </w:pPr>
    </w:p>
    <w:p w14:paraId="25A07AC7" w14:textId="77777777" w:rsidR="00073AC1" w:rsidRPr="00073AC1" w:rsidRDefault="00073AC1" w:rsidP="00073AC1">
      <w:pPr>
        <w:pStyle w:val="CommentText"/>
        <w:rPr>
          <w:rFonts w:asciiTheme="minorHAnsi" w:hAnsiTheme="minorHAnsi" w:cs="Arial"/>
          <w:b/>
          <w:bCs/>
          <w:sz w:val="24"/>
        </w:rPr>
      </w:pPr>
      <w:r w:rsidRPr="00073AC1">
        <w:rPr>
          <w:rFonts w:asciiTheme="minorHAnsi" w:hAnsiTheme="minorHAnsi" w:cs="Arial"/>
          <w:b/>
          <w:bCs/>
          <w:sz w:val="24"/>
        </w:rPr>
        <w:t xml:space="preserve">Global Competencies for EBM: </w:t>
      </w:r>
    </w:p>
    <w:p w14:paraId="1892D85F" w14:textId="77777777" w:rsidR="00073AC1" w:rsidRPr="00073AC1" w:rsidRDefault="00073AC1" w:rsidP="00073AC1">
      <w:pPr>
        <w:pStyle w:val="BodyText"/>
        <w:rPr>
          <w:rFonts w:asciiTheme="minorHAnsi" w:hAnsiTheme="minorHAnsi" w:cs="Arial"/>
        </w:rPr>
      </w:pPr>
    </w:p>
    <w:p w14:paraId="1DF34219" w14:textId="1694CA8B" w:rsidR="00073AC1" w:rsidRPr="00073AC1" w:rsidRDefault="00073AC1" w:rsidP="00073AC1">
      <w:pPr>
        <w:pStyle w:val="BodyText"/>
        <w:rPr>
          <w:rFonts w:asciiTheme="minorHAnsi" w:hAnsiTheme="minorHAnsi" w:cs="Arial"/>
          <w:u w:val="none"/>
        </w:rPr>
      </w:pPr>
      <w:r>
        <w:rPr>
          <w:rFonts w:asciiTheme="minorHAnsi" w:hAnsiTheme="minorHAnsi" w:cs="Arial"/>
          <w:u w:val="none"/>
        </w:rPr>
        <w:t>The</w:t>
      </w:r>
      <w:r w:rsidRPr="00073AC1">
        <w:rPr>
          <w:rFonts w:asciiTheme="minorHAnsi" w:hAnsiTheme="minorHAnsi" w:cs="Arial"/>
          <w:u w:val="none"/>
        </w:rPr>
        <w:t xml:space="preserve"> core </w:t>
      </w:r>
      <w:r>
        <w:rPr>
          <w:rFonts w:asciiTheme="minorHAnsi" w:hAnsiTheme="minorHAnsi" w:cs="Arial"/>
          <w:u w:val="none"/>
        </w:rPr>
        <w:t>competencies for Evidence-</w:t>
      </w:r>
      <w:r w:rsidRPr="00073AC1">
        <w:rPr>
          <w:rFonts w:asciiTheme="minorHAnsi" w:hAnsiTheme="minorHAnsi" w:cs="Arial"/>
          <w:u w:val="none"/>
        </w:rPr>
        <w:t xml:space="preserve">Based Medicine that may appear in many parts of the course include: </w:t>
      </w:r>
      <w:bookmarkStart w:id="0" w:name="_GoBack"/>
      <w:bookmarkEnd w:id="0"/>
    </w:p>
    <w:tbl>
      <w:tblPr>
        <w:tblW w:w="9276" w:type="dxa"/>
        <w:tblInd w:w="-34" w:type="dxa"/>
        <w:tblLook w:val="04A0" w:firstRow="1" w:lastRow="0" w:firstColumn="1" w:lastColumn="0" w:noHBand="0" w:noVBand="1"/>
      </w:tblPr>
      <w:tblGrid>
        <w:gridCol w:w="9276"/>
      </w:tblGrid>
      <w:tr w:rsidR="00073AC1" w:rsidRPr="00073AC1" w14:paraId="378F56B6" w14:textId="77777777" w:rsidTr="00073AC1">
        <w:tc>
          <w:tcPr>
            <w:tcW w:w="9276" w:type="dxa"/>
            <w:shd w:val="clear" w:color="auto" w:fill="auto"/>
          </w:tcPr>
          <w:p w14:paraId="1F684668" w14:textId="77777777" w:rsidR="00073AC1" w:rsidRPr="00073AC1" w:rsidRDefault="00073AC1" w:rsidP="00073AC1">
            <w:pPr>
              <w:pStyle w:val="Heading9"/>
              <w:ind w:left="0" w:firstLine="0"/>
              <w:rPr>
                <w:rFonts w:asciiTheme="minorHAnsi" w:hAnsiTheme="minorHAnsi" w:cs="Arial"/>
              </w:rPr>
            </w:pPr>
            <w:r w:rsidRPr="00073AC1">
              <w:rPr>
                <w:rFonts w:asciiTheme="minorHAnsi" w:hAnsiTheme="minorHAnsi" w:cs="Arial"/>
              </w:rPr>
              <w:t>Principles and Basic Practices of Evidence Based Medicine</w:t>
            </w:r>
          </w:p>
        </w:tc>
      </w:tr>
      <w:tr w:rsidR="00073AC1" w:rsidRPr="00073AC1" w14:paraId="5642B623" w14:textId="77777777" w:rsidTr="00073AC1">
        <w:tc>
          <w:tcPr>
            <w:tcW w:w="9276" w:type="dxa"/>
            <w:shd w:val="clear" w:color="auto" w:fill="auto"/>
            <w:vAlign w:val="center"/>
          </w:tcPr>
          <w:p w14:paraId="10FE4921" w14:textId="77777777" w:rsidR="00073AC1" w:rsidRPr="00073AC1" w:rsidRDefault="00073AC1" w:rsidP="00073AC1">
            <w:pPr>
              <w:numPr>
                <w:ilvl w:val="0"/>
                <w:numId w:val="6"/>
              </w:numPr>
              <w:tabs>
                <w:tab w:val="clear" w:pos="2520"/>
                <w:tab w:val="num" w:pos="1080"/>
              </w:tabs>
              <w:spacing w:after="0" w:line="240" w:lineRule="auto"/>
              <w:ind w:left="1080" w:hanging="360"/>
              <w:rPr>
                <w:rFonts w:cs="Arial"/>
                <w:snapToGrid w:val="0"/>
                <w:sz w:val="20"/>
                <w:szCs w:val="20"/>
              </w:rPr>
            </w:pPr>
            <w:r w:rsidRPr="00073AC1">
              <w:rPr>
                <w:rFonts w:cs="Arial"/>
                <w:snapToGrid w:val="0"/>
                <w:sz w:val="20"/>
                <w:szCs w:val="20"/>
              </w:rPr>
              <w:t>Describe and apply to a clinical case the basic principles of EBM.</w:t>
            </w:r>
          </w:p>
        </w:tc>
      </w:tr>
      <w:tr w:rsidR="00073AC1" w:rsidRPr="00073AC1" w14:paraId="1FB2A138" w14:textId="77777777" w:rsidTr="00073AC1">
        <w:tc>
          <w:tcPr>
            <w:tcW w:w="9276" w:type="dxa"/>
            <w:shd w:val="clear" w:color="auto" w:fill="auto"/>
            <w:vAlign w:val="center"/>
          </w:tcPr>
          <w:p w14:paraId="585234D4" w14:textId="77777777" w:rsidR="00073AC1" w:rsidRPr="00073AC1" w:rsidRDefault="00073AC1" w:rsidP="00073AC1">
            <w:pPr>
              <w:numPr>
                <w:ilvl w:val="0"/>
                <w:numId w:val="6"/>
              </w:numPr>
              <w:tabs>
                <w:tab w:val="clear" w:pos="2520"/>
                <w:tab w:val="num" w:pos="1080"/>
              </w:tabs>
              <w:spacing w:after="0" w:line="240" w:lineRule="auto"/>
              <w:ind w:left="1080" w:hanging="360"/>
              <w:rPr>
                <w:rFonts w:cs="Arial"/>
                <w:snapToGrid w:val="0"/>
                <w:sz w:val="20"/>
                <w:szCs w:val="20"/>
              </w:rPr>
            </w:pPr>
            <w:r w:rsidRPr="00073AC1">
              <w:rPr>
                <w:rFonts w:cs="Arial"/>
                <w:snapToGrid w:val="0"/>
                <w:sz w:val="20"/>
                <w:szCs w:val="20"/>
              </w:rPr>
              <w:t>Describe how EBM, clinical experience and individual patient issues interact.</w:t>
            </w:r>
          </w:p>
        </w:tc>
      </w:tr>
      <w:tr w:rsidR="00073AC1" w:rsidRPr="00073AC1" w14:paraId="0EEDEBBA" w14:textId="77777777" w:rsidTr="00073AC1">
        <w:tc>
          <w:tcPr>
            <w:tcW w:w="9276" w:type="dxa"/>
            <w:shd w:val="clear" w:color="auto" w:fill="auto"/>
            <w:vAlign w:val="center"/>
          </w:tcPr>
          <w:p w14:paraId="22DF9B7D" w14:textId="77777777" w:rsidR="00073AC1" w:rsidRPr="00073AC1" w:rsidRDefault="00073AC1" w:rsidP="00073AC1">
            <w:pPr>
              <w:numPr>
                <w:ilvl w:val="0"/>
                <w:numId w:val="6"/>
              </w:numPr>
              <w:tabs>
                <w:tab w:val="clear" w:pos="2520"/>
                <w:tab w:val="num" w:pos="1058"/>
              </w:tabs>
              <w:spacing w:after="0" w:line="240" w:lineRule="auto"/>
              <w:ind w:left="1080" w:hanging="360"/>
              <w:rPr>
                <w:rFonts w:cs="Arial"/>
                <w:snapToGrid w:val="0"/>
                <w:sz w:val="20"/>
                <w:szCs w:val="20"/>
              </w:rPr>
            </w:pPr>
            <w:r w:rsidRPr="00073AC1">
              <w:rPr>
                <w:rFonts w:cs="Arial"/>
                <w:snapToGrid w:val="0"/>
                <w:sz w:val="20"/>
                <w:szCs w:val="20"/>
              </w:rPr>
              <w:t>Describe the limitations of EBM.</w:t>
            </w:r>
          </w:p>
        </w:tc>
      </w:tr>
      <w:tr w:rsidR="00073AC1" w:rsidRPr="00073AC1" w14:paraId="27C045D6" w14:textId="77777777" w:rsidTr="00073AC1">
        <w:tc>
          <w:tcPr>
            <w:tcW w:w="9276" w:type="dxa"/>
            <w:shd w:val="clear" w:color="auto" w:fill="auto"/>
            <w:vAlign w:val="center"/>
          </w:tcPr>
          <w:p w14:paraId="587909DF" w14:textId="77777777" w:rsidR="00073AC1" w:rsidRPr="00073AC1" w:rsidRDefault="00073AC1" w:rsidP="00073AC1">
            <w:pPr>
              <w:numPr>
                <w:ilvl w:val="0"/>
                <w:numId w:val="6"/>
              </w:numPr>
              <w:tabs>
                <w:tab w:val="clear" w:pos="2520"/>
                <w:tab w:val="num" w:pos="1058"/>
              </w:tabs>
              <w:spacing w:after="0" w:line="240" w:lineRule="auto"/>
              <w:ind w:left="1080" w:hanging="360"/>
              <w:rPr>
                <w:rFonts w:cs="Arial"/>
                <w:snapToGrid w:val="0"/>
                <w:sz w:val="20"/>
                <w:szCs w:val="20"/>
              </w:rPr>
            </w:pPr>
            <w:r w:rsidRPr="00073AC1">
              <w:rPr>
                <w:rFonts w:cs="Arial"/>
                <w:snapToGrid w:val="0"/>
                <w:sz w:val="20"/>
                <w:szCs w:val="20"/>
              </w:rPr>
              <w:t>Describe the interaction of EBM and health care policies.</w:t>
            </w:r>
          </w:p>
        </w:tc>
      </w:tr>
      <w:tr w:rsidR="00073AC1" w:rsidRPr="00073AC1" w14:paraId="576FA3B7" w14:textId="77777777" w:rsidTr="00073AC1">
        <w:trPr>
          <w:trHeight w:val="279"/>
        </w:trPr>
        <w:tc>
          <w:tcPr>
            <w:tcW w:w="9276" w:type="dxa"/>
            <w:shd w:val="clear" w:color="auto" w:fill="auto"/>
          </w:tcPr>
          <w:p w14:paraId="1643F65D" w14:textId="77777777" w:rsidR="00073AC1" w:rsidRPr="00073AC1" w:rsidRDefault="00073AC1" w:rsidP="00073AC1">
            <w:pPr>
              <w:tabs>
                <w:tab w:val="num" w:pos="1058"/>
              </w:tabs>
              <w:spacing w:after="0" w:line="240" w:lineRule="auto"/>
              <w:rPr>
                <w:rFonts w:cs="Arial"/>
                <w:b/>
                <w:snapToGrid w:val="0"/>
                <w:sz w:val="20"/>
                <w:szCs w:val="20"/>
              </w:rPr>
            </w:pPr>
            <w:r w:rsidRPr="00073AC1">
              <w:rPr>
                <w:rFonts w:cs="Arial"/>
                <w:b/>
                <w:snapToGrid w:val="0"/>
                <w:sz w:val="20"/>
                <w:szCs w:val="20"/>
              </w:rPr>
              <w:t xml:space="preserve">Question formulation </w:t>
            </w:r>
          </w:p>
        </w:tc>
      </w:tr>
      <w:tr w:rsidR="00073AC1" w:rsidRPr="00073AC1" w14:paraId="1EB9A9E7" w14:textId="77777777" w:rsidTr="00073AC1">
        <w:tc>
          <w:tcPr>
            <w:tcW w:w="9276" w:type="dxa"/>
            <w:shd w:val="clear" w:color="auto" w:fill="auto"/>
          </w:tcPr>
          <w:p w14:paraId="70E885B5" w14:textId="77777777" w:rsidR="00073AC1" w:rsidRPr="00073AC1" w:rsidRDefault="00073AC1" w:rsidP="00073AC1">
            <w:pPr>
              <w:numPr>
                <w:ilvl w:val="2"/>
                <w:numId w:val="5"/>
              </w:numPr>
              <w:tabs>
                <w:tab w:val="clear" w:pos="1980"/>
                <w:tab w:val="num" w:pos="1058"/>
              </w:tabs>
              <w:spacing w:after="0" w:line="240" w:lineRule="auto"/>
              <w:ind w:left="1080" w:hanging="360"/>
              <w:rPr>
                <w:rFonts w:cs="Arial"/>
                <w:snapToGrid w:val="0"/>
                <w:sz w:val="20"/>
                <w:szCs w:val="20"/>
              </w:rPr>
            </w:pPr>
            <w:r w:rsidRPr="00073AC1">
              <w:rPr>
                <w:rFonts w:cs="Arial"/>
                <w:snapToGrid w:val="0"/>
                <w:sz w:val="20"/>
                <w:szCs w:val="20"/>
              </w:rPr>
              <w:t>Describe how to formulate an answerable, searchable question.</w:t>
            </w:r>
          </w:p>
        </w:tc>
      </w:tr>
      <w:tr w:rsidR="00073AC1" w:rsidRPr="00073AC1" w14:paraId="53278A9E" w14:textId="77777777" w:rsidTr="00073AC1">
        <w:tc>
          <w:tcPr>
            <w:tcW w:w="9276" w:type="dxa"/>
            <w:shd w:val="clear" w:color="auto" w:fill="auto"/>
          </w:tcPr>
          <w:p w14:paraId="53B7D796" w14:textId="01ED3D64" w:rsidR="00073AC1" w:rsidRPr="00073AC1" w:rsidRDefault="00073AC1" w:rsidP="00073AC1">
            <w:pPr>
              <w:numPr>
                <w:ilvl w:val="2"/>
                <w:numId w:val="5"/>
              </w:numPr>
              <w:tabs>
                <w:tab w:val="clear" w:pos="1980"/>
                <w:tab w:val="num" w:pos="1058"/>
              </w:tabs>
              <w:spacing w:after="0" w:line="240" w:lineRule="auto"/>
              <w:ind w:left="1080" w:hanging="360"/>
              <w:rPr>
                <w:rFonts w:cs="Arial"/>
                <w:snapToGrid w:val="0"/>
                <w:sz w:val="20"/>
                <w:szCs w:val="20"/>
              </w:rPr>
            </w:pPr>
            <w:r w:rsidRPr="00073AC1">
              <w:rPr>
                <w:rFonts w:cs="Arial"/>
                <w:snapToGrid w:val="0"/>
                <w:sz w:val="20"/>
                <w:szCs w:val="20"/>
              </w:rPr>
              <w:t xml:space="preserve">Identify the type of clinical question (e.g. treatment, prognosis, </w:t>
            </w:r>
            <w:r w:rsidR="007C6EF8">
              <w:rPr>
                <w:rFonts w:cs="Arial"/>
                <w:snapToGrid w:val="0"/>
                <w:sz w:val="20"/>
                <w:szCs w:val="20"/>
              </w:rPr>
              <w:t>a</w:t>
            </w:r>
            <w:r w:rsidRPr="00073AC1">
              <w:rPr>
                <w:rFonts w:cs="Arial"/>
                <w:snapToGrid w:val="0"/>
                <w:sz w:val="20"/>
                <w:szCs w:val="20"/>
              </w:rPr>
              <w:t>etiology).</w:t>
            </w:r>
          </w:p>
        </w:tc>
      </w:tr>
      <w:tr w:rsidR="00073AC1" w:rsidRPr="00073AC1" w14:paraId="4F903299" w14:textId="77777777" w:rsidTr="00073AC1">
        <w:tc>
          <w:tcPr>
            <w:tcW w:w="9276" w:type="dxa"/>
            <w:shd w:val="clear" w:color="auto" w:fill="auto"/>
          </w:tcPr>
          <w:p w14:paraId="2EFDC410" w14:textId="77777777" w:rsidR="00073AC1" w:rsidRPr="00073AC1" w:rsidRDefault="00073AC1" w:rsidP="00073AC1">
            <w:pPr>
              <w:numPr>
                <w:ilvl w:val="2"/>
                <w:numId w:val="5"/>
              </w:numPr>
              <w:tabs>
                <w:tab w:val="clear" w:pos="1980"/>
                <w:tab w:val="num" w:pos="1058"/>
              </w:tabs>
              <w:spacing w:after="0" w:line="240" w:lineRule="auto"/>
              <w:ind w:left="1080" w:hanging="360"/>
              <w:rPr>
                <w:rFonts w:cs="Arial"/>
                <w:snapToGrid w:val="0"/>
                <w:sz w:val="20"/>
                <w:szCs w:val="20"/>
              </w:rPr>
            </w:pPr>
            <w:r w:rsidRPr="00073AC1">
              <w:rPr>
                <w:rFonts w:cs="Arial"/>
                <w:snapToGrid w:val="0"/>
                <w:sz w:val="20"/>
                <w:szCs w:val="20"/>
              </w:rPr>
              <w:t>Describe where and how to look for information to answer different types of clinical questions at the point of care (when answers are needed quickly).</w:t>
            </w:r>
          </w:p>
        </w:tc>
      </w:tr>
      <w:tr w:rsidR="00073AC1" w:rsidRPr="00073AC1" w14:paraId="2A3521A9" w14:textId="77777777" w:rsidTr="00073AC1">
        <w:tc>
          <w:tcPr>
            <w:tcW w:w="9276" w:type="dxa"/>
            <w:shd w:val="clear" w:color="auto" w:fill="auto"/>
          </w:tcPr>
          <w:p w14:paraId="69F1FEFB" w14:textId="77777777" w:rsidR="00073AC1" w:rsidRPr="00073AC1" w:rsidRDefault="00073AC1" w:rsidP="00073AC1">
            <w:pPr>
              <w:numPr>
                <w:ilvl w:val="2"/>
                <w:numId w:val="5"/>
              </w:numPr>
              <w:tabs>
                <w:tab w:val="clear" w:pos="1980"/>
                <w:tab w:val="num" w:pos="1058"/>
              </w:tabs>
              <w:spacing w:after="0" w:line="240" w:lineRule="auto"/>
              <w:ind w:left="1080" w:hanging="360"/>
              <w:rPr>
                <w:rFonts w:cs="Arial"/>
                <w:snapToGrid w:val="0"/>
                <w:sz w:val="20"/>
                <w:szCs w:val="20"/>
              </w:rPr>
            </w:pPr>
            <w:r w:rsidRPr="00073AC1">
              <w:rPr>
                <w:rFonts w:cs="Arial"/>
                <w:snapToGrid w:val="0"/>
                <w:sz w:val="20"/>
                <w:szCs w:val="20"/>
              </w:rPr>
              <w:t>Describe where and how to look for answers to different types of clinical questions when clinical decisions can wait.</w:t>
            </w:r>
          </w:p>
        </w:tc>
      </w:tr>
      <w:tr w:rsidR="00073AC1" w:rsidRPr="00073AC1" w14:paraId="67A4E875" w14:textId="77777777" w:rsidTr="00073AC1">
        <w:tc>
          <w:tcPr>
            <w:tcW w:w="9276" w:type="dxa"/>
            <w:shd w:val="clear" w:color="auto" w:fill="auto"/>
          </w:tcPr>
          <w:p w14:paraId="5359140E" w14:textId="77777777" w:rsidR="00073AC1" w:rsidRPr="00073AC1" w:rsidRDefault="00073AC1" w:rsidP="00073AC1">
            <w:pPr>
              <w:tabs>
                <w:tab w:val="num" w:pos="1058"/>
              </w:tabs>
              <w:spacing w:after="0" w:line="240" w:lineRule="auto"/>
              <w:rPr>
                <w:rFonts w:cs="Arial"/>
                <w:b/>
                <w:snapToGrid w:val="0"/>
                <w:sz w:val="20"/>
                <w:szCs w:val="20"/>
              </w:rPr>
            </w:pPr>
            <w:r w:rsidRPr="00073AC1">
              <w:rPr>
                <w:rFonts w:cs="Arial"/>
                <w:b/>
                <w:snapToGrid w:val="0"/>
                <w:sz w:val="20"/>
                <w:szCs w:val="20"/>
              </w:rPr>
              <w:t>Critical Appraisal</w:t>
            </w:r>
          </w:p>
        </w:tc>
      </w:tr>
      <w:tr w:rsidR="00073AC1" w:rsidRPr="00073AC1" w14:paraId="3BCBFE9F" w14:textId="77777777" w:rsidTr="00073AC1">
        <w:tc>
          <w:tcPr>
            <w:tcW w:w="9276" w:type="dxa"/>
            <w:shd w:val="clear" w:color="auto" w:fill="auto"/>
            <w:vAlign w:val="center"/>
          </w:tcPr>
          <w:p w14:paraId="3C76C252" w14:textId="277D031D"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 xml:space="preserve">How to read a </w:t>
            </w:r>
            <w:r w:rsidR="007C6EF8" w:rsidRPr="00073AC1">
              <w:rPr>
                <w:rFonts w:cs="Arial"/>
                <w:snapToGrid w:val="0"/>
                <w:sz w:val="20"/>
                <w:szCs w:val="20"/>
              </w:rPr>
              <w:t>scientific</w:t>
            </w:r>
            <w:r w:rsidRPr="00073AC1">
              <w:rPr>
                <w:rFonts w:cs="Arial"/>
                <w:snapToGrid w:val="0"/>
                <w:sz w:val="20"/>
                <w:szCs w:val="20"/>
              </w:rPr>
              <w:t xml:space="preserve"> paper - what are the component parts of a basic </w:t>
            </w:r>
            <w:r w:rsidR="007C6EF8" w:rsidRPr="00073AC1">
              <w:rPr>
                <w:rFonts w:cs="Arial"/>
                <w:snapToGrid w:val="0"/>
                <w:sz w:val="20"/>
                <w:szCs w:val="20"/>
              </w:rPr>
              <w:t>scientific</w:t>
            </w:r>
            <w:r w:rsidRPr="00073AC1">
              <w:rPr>
                <w:rFonts w:cs="Arial"/>
                <w:snapToGrid w:val="0"/>
                <w:sz w:val="20"/>
                <w:szCs w:val="20"/>
              </w:rPr>
              <w:t xml:space="preserve"> paper ** </w:t>
            </w:r>
          </w:p>
        </w:tc>
      </w:tr>
      <w:tr w:rsidR="00073AC1" w:rsidRPr="00073AC1" w14:paraId="27BB59C7" w14:textId="77777777" w:rsidTr="00073AC1">
        <w:tc>
          <w:tcPr>
            <w:tcW w:w="9276" w:type="dxa"/>
            <w:shd w:val="clear" w:color="auto" w:fill="auto"/>
            <w:vAlign w:val="center"/>
          </w:tcPr>
          <w:p w14:paraId="1BF3EA89" w14:textId="7777777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Assess the primary literature - how to retrieve primary studies and how to design studies of effectiveness for basic sciences.</w:t>
            </w:r>
          </w:p>
        </w:tc>
      </w:tr>
      <w:tr w:rsidR="00073AC1" w:rsidRPr="00073AC1" w14:paraId="2F1A1159" w14:textId="77777777" w:rsidTr="00073AC1">
        <w:tc>
          <w:tcPr>
            <w:tcW w:w="9276" w:type="dxa"/>
            <w:shd w:val="clear" w:color="auto" w:fill="auto"/>
            <w:vAlign w:val="center"/>
          </w:tcPr>
          <w:p w14:paraId="596FF2E5" w14:textId="7777777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Distinguish relevant from irrelevant evidence.</w:t>
            </w:r>
          </w:p>
        </w:tc>
      </w:tr>
      <w:tr w:rsidR="00073AC1" w:rsidRPr="00073AC1" w14:paraId="354F4FF3" w14:textId="77777777" w:rsidTr="00073AC1">
        <w:tc>
          <w:tcPr>
            <w:tcW w:w="9276" w:type="dxa"/>
            <w:shd w:val="clear" w:color="auto" w:fill="auto"/>
            <w:vAlign w:val="center"/>
          </w:tcPr>
          <w:p w14:paraId="16185143" w14:textId="7777777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Define and apply criteria to medical information to determine relevance when answering clinical questions.</w:t>
            </w:r>
          </w:p>
        </w:tc>
      </w:tr>
      <w:tr w:rsidR="00073AC1" w:rsidRPr="00073AC1" w14:paraId="57B5F392" w14:textId="77777777" w:rsidTr="00073AC1">
        <w:tc>
          <w:tcPr>
            <w:tcW w:w="9276" w:type="dxa"/>
            <w:shd w:val="clear" w:color="auto" w:fill="auto"/>
            <w:vAlign w:val="center"/>
          </w:tcPr>
          <w:p w14:paraId="3EBAF89E" w14:textId="7777777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Describe a hierarchical approach to levels of evidence specific to types of conclusions.</w:t>
            </w:r>
          </w:p>
        </w:tc>
      </w:tr>
      <w:tr w:rsidR="00073AC1" w:rsidRPr="00073AC1" w14:paraId="254672FC" w14:textId="77777777" w:rsidTr="00073AC1">
        <w:tc>
          <w:tcPr>
            <w:tcW w:w="9276" w:type="dxa"/>
            <w:shd w:val="clear" w:color="auto" w:fill="auto"/>
            <w:vAlign w:val="center"/>
          </w:tcPr>
          <w:p w14:paraId="7A4DFDFB" w14:textId="7777777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Identify the most valid study design for studies of therapy, prognosis, and diagnosis.</w:t>
            </w:r>
          </w:p>
        </w:tc>
      </w:tr>
      <w:tr w:rsidR="00073AC1" w:rsidRPr="00073AC1" w14:paraId="1B37A8AB" w14:textId="77777777" w:rsidTr="00073AC1">
        <w:tc>
          <w:tcPr>
            <w:tcW w:w="9276" w:type="dxa"/>
            <w:shd w:val="clear" w:color="auto" w:fill="auto"/>
            <w:vAlign w:val="center"/>
          </w:tcPr>
          <w:p w14:paraId="1AB5F794" w14:textId="2B90A107" w:rsidR="00073AC1" w:rsidRPr="00073AC1" w:rsidRDefault="00073AC1" w:rsidP="00073AC1">
            <w:pPr>
              <w:numPr>
                <w:ilvl w:val="0"/>
                <w:numId w:val="10"/>
              </w:numPr>
              <w:spacing w:after="0" w:line="240" w:lineRule="auto"/>
              <w:rPr>
                <w:rFonts w:cs="Arial"/>
                <w:snapToGrid w:val="0"/>
                <w:sz w:val="20"/>
                <w:szCs w:val="20"/>
              </w:rPr>
            </w:pPr>
            <w:r w:rsidRPr="00073AC1">
              <w:rPr>
                <w:rFonts w:cs="Arial"/>
                <w:snapToGrid w:val="0"/>
                <w:sz w:val="20"/>
                <w:szCs w:val="20"/>
              </w:rPr>
              <w:t xml:space="preserve">Determine </w:t>
            </w:r>
            <w:r w:rsidR="007C6EF8" w:rsidRPr="00073AC1">
              <w:rPr>
                <w:rFonts w:cs="Arial"/>
                <w:snapToGrid w:val="0"/>
                <w:sz w:val="20"/>
                <w:szCs w:val="20"/>
              </w:rPr>
              <w:t>methodological</w:t>
            </w:r>
            <w:r w:rsidRPr="00073AC1">
              <w:rPr>
                <w:rFonts w:cs="Arial"/>
                <w:snapToGrid w:val="0"/>
                <w:sz w:val="20"/>
                <w:szCs w:val="20"/>
              </w:rPr>
              <w:t xml:space="preserve"> quality of evidence, assessing the following types of studies for validity (identify important threats to validity and identify critical flaws in study design):</w:t>
            </w:r>
          </w:p>
        </w:tc>
      </w:tr>
      <w:tr w:rsidR="00073AC1" w:rsidRPr="00073AC1" w14:paraId="25BD0F94" w14:textId="77777777" w:rsidTr="00073AC1">
        <w:tc>
          <w:tcPr>
            <w:tcW w:w="9276" w:type="dxa"/>
            <w:shd w:val="clear" w:color="auto" w:fill="auto"/>
            <w:vAlign w:val="center"/>
          </w:tcPr>
          <w:p w14:paraId="414E5A66"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 xml:space="preserve">a therapeutic study </w:t>
            </w:r>
          </w:p>
        </w:tc>
      </w:tr>
      <w:tr w:rsidR="00073AC1" w:rsidRPr="00073AC1" w14:paraId="086EDEEF" w14:textId="77777777" w:rsidTr="00073AC1">
        <w:tc>
          <w:tcPr>
            <w:tcW w:w="9276" w:type="dxa"/>
            <w:shd w:val="clear" w:color="auto" w:fill="auto"/>
            <w:vAlign w:val="center"/>
          </w:tcPr>
          <w:p w14:paraId="610B5909"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prognosis study</w:t>
            </w:r>
          </w:p>
        </w:tc>
      </w:tr>
      <w:tr w:rsidR="00073AC1" w:rsidRPr="00073AC1" w14:paraId="5CC86560" w14:textId="77777777" w:rsidTr="00073AC1">
        <w:tc>
          <w:tcPr>
            <w:tcW w:w="9276" w:type="dxa"/>
            <w:shd w:val="clear" w:color="auto" w:fill="auto"/>
            <w:vAlign w:val="center"/>
          </w:tcPr>
          <w:p w14:paraId="206B346B"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diagnostic study</w:t>
            </w:r>
            <w:r w:rsidRPr="00073AC1">
              <w:rPr>
                <w:rFonts w:cs="Arial"/>
                <w:snapToGrid w:val="0"/>
                <w:color w:val="000000"/>
                <w:sz w:val="20"/>
                <w:szCs w:val="20"/>
              </w:rPr>
              <w:tab/>
            </w:r>
          </w:p>
        </w:tc>
      </w:tr>
      <w:tr w:rsidR="00073AC1" w:rsidRPr="00073AC1" w14:paraId="3C878874" w14:textId="77777777" w:rsidTr="00073AC1">
        <w:tc>
          <w:tcPr>
            <w:tcW w:w="9276" w:type="dxa"/>
            <w:shd w:val="clear" w:color="auto" w:fill="auto"/>
            <w:vAlign w:val="center"/>
          </w:tcPr>
          <w:p w14:paraId="0EE5F2AA"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clinical prediction guide study</w:t>
            </w:r>
          </w:p>
        </w:tc>
      </w:tr>
      <w:tr w:rsidR="00073AC1" w:rsidRPr="00073AC1" w14:paraId="774FD1E8" w14:textId="77777777" w:rsidTr="00073AC1">
        <w:tc>
          <w:tcPr>
            <w:tcW w:w="9276" w:type="dxa"/>
            <w:shd w:val="clear" w:color="auto" w:fill="auto"/>
            <w:vAlign w:val="center"/>
          </w:tcPr>
          <w:p w14:paraId="368AAB40"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 xml:space="preserve">a practice guideline </w:t>
            </w:r>
          </w:p>
        </w:tc>
      </w:tr>
      <w:tr w:rsidR="00073AC1" w:rsidRPr="00073AC1" w14:paraId="0F183B36" w14:textId="77777777" w:rsidTr="00073AC1">
        <w:tc>
          <w:tcPr>
            <w:tcW w:w="9276" w:type="dxa"/>
            <w:shd w:val="clear" w:color="auto" w:fill="auto"/>
            <w:vAlign w:val="center"/>
          </w:tcPr>
          <w:p w14:paraId="4C34AE69"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systematic or meta-analysis review</w:t>
            </w:r>
          </w:p>
        </w:tc>
      </w:tr>
      <w:tr w:rsidR="00073AC1" w:rsidRPr="00073AC1" w14:paraId="7914AA53" w14:textId="77777777" w:rsidTr="00073AC1">
        <w:tc>
          <w:tcPr>
            <w:tcW w:w="9276" w:type="dxa"/>
            <w:shd w:val="clear" w:color="auto" w:fill="auto"/>
            <w:vAlign w:val="center"/>
          </w:tcPr>
          <w:p w14:paraId="2FA44C60"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health economics study</w:t>
            </w:r>
          </w:p>
        </w:tc>
      </w:tr>
      <w:tr w:rsidR="00073AC1" w:rsidRPr="00073AC1" w14:paraId="10EC76CE" w14:textId="77777777" w:rsidTr="00073AC1">
        <w:tc>
          <w:tcPr>
            <w:tcW w:w="9276" w:type="dxa"/>
            <w:shd w:val="clear" w:color="auto" w:fill="auto"/>
            <w:vAlign w:val="center"/>
          </w:tcPr>
          <w:p w14:paraId="28D72266" w14:textId="77777777" w:rsidR="00073AC1" w:rsidRPr="00073AC1" w:rsidRDefault="00073AC1" w:rsidP="00073AC1">
            <w:pPr>
              <w:numPr>
                <w:ilvl w:val="2"/>
                <w:numId w:val="7"/>
              </w:numPr>
              <w:tabs>
                <w:tab w:val="left" w:pos="1080"/>
              </w:tabs>
              <w:spacing w:after="0" w:line="240" w:lineRule="auto"/>
              <w:rPr>
                <w:rFonts w:cs="Arial"/>
                <w:snapToGrid w:val="0"/>
                <w:color w:val="000000"/>
                <w:sz w:val="20"/>
                <w:szCs w:val="20"/>
              </w:rPr>
            </w:pPr>
            <w:r w:rsidRPr="00073AC1">
              <w:rPr>
                <w:rFonts w:cs="Arial"/>
                <w:snapToGrid w:val="0"/>
                <w:color w:val="000000"/>
                <w:sz w:val="20"/>
                <w:szCs w:val="20"/>
              </w:rPr>
              <w:t>a case-control study</w:t>
            </w:r>
          </w:p>
        </w:tc>
      </w:tr>
      <w:tr w:rsidR="00073AC1" w:rsidRPr="00073AC1" w14:paraId="71199D71" w14:textId="77777777" w:rsidTr="00073AC1">
        <w:tc>
          <w:tcPr>
            <w:tcW w:w="9276" w:type="dxa"/>
            <w:shd w:val="clear" w:color="auto" w:fill="auto"/>
          </w:tcPr>
          <w:p w14:paraId="5A966AEA" w14:textId="77777777" w:rsidR="00073AC1" w:rsidRPr="00073AC1" w:rsidRDefault="00073AC1" w:rsidP="00073AC1">
            <w:pPr>
              <w:tabs>
                <w:tab w:val="num" w:pos="1440"/>
              </w:tabs>
              <w:spacing w:after="0" w:line="240" w:lineRule="auto"/>
              <w:rPr>
                <w:rFonts w:cs="Arial"/>
                <w:b/>
                <w:snapToGrid w:val="0"/>
                <w:sz w:val="20"/>
                <w:szCs w:val="20"/>
              </w:rPr>
            </w:pPr>
            <w:r w:rsidRPr="00073AC1">
              <w:rPr>
                <w:rFonts w:cs="Arial"/>
                <w:b/>
                <w:snapToGrid w:val="0"/>
                <w:sz w:val="20"/>
                <w:szCs w:val="20"/>
              </w:rPr>
              <w:t>Determining the clinical significance of results.</w:t>
            </w:r>
          </w:p>
        </w:tc>
      </w:tr>
      <w:tr w:rsidR="00073AC1" w:rsidRPr="00073AC1" w14:paraId="7AC033CD" w14:textId="77777777" w:rsidTr="00073AC1">
        <w:tc>
          <w:tcPr>
            <w:tcW w:w="9276" w:type="dxa"/>
            <w:shd w:val="clear" w:color="auto" w:fill="auto"/>
          </w:tcPr>
          <w:p w14:paraId="7EB9DDCD" w14:textId="77777777" w:rsidR="00073AC1" w:rsidRPr="00073AC1" w:rsidRDefault="00073AC1" w:rsidP="00073AC1">
            <w:pPr>
              <w:numPr>
                <w:ilvl w:val="0"/>
                <w:numId w:val="9"/>
              </w:numPr>
              <w:tabs>
                <w:tab w:val="clear" w:pos="1980"/>
                <w:tab w:val="num" w:pos="1134"/>
              </w:tabs>
              <w:spacing w:after="0" w:line="240" w:lineRule="auto"/>
              <w:ind w:left="1134" w:hanging="425"/>
              <w:rPr>
                <w:rFonts w:cs="Arial"/>
                <w:snapToGrid w:val="0"/>
                <w:sz w:val="20"/>
                <w:szCs w:val="20"/>
              </w:rPr>
            </w:pPr>
            <w:r w:rsidRPr="00073AC1">
              <w:rPr>
                <w:rFonts w:cs="Arial"/>
                <w:snapToGrid w:val="0"/>
                <w:sz w:val="20"/>
                <w:szCs w:val="20"/>
              </w:rPr>
              <w:t>Clinically interpret the results of an RCT, including concepts of RRR vs. ARR, how to determine NNT, p values, confidence intervals, risk/benefit analysis, and balancing NNT and NNH.</w:t>
            </w:r>
          </w:p>
        </w:tc>
      </w:tr>
      <w:tr w:rsidR="00073AC1" w:rsidRPr="00073AC1" w14:paraId="5892A91D" w14:textId="77777777" w:rsidTr="00073AC1">
        <w:tc>
          <w:tcPr>
            <w:tcW w:w="9276" w:type="dxa"/>
            <w:shd w:val="clear" w:color="auto" w:fill="auto"/>
          </w:tcPr>
          <w:p w14:paraId="3A904226" w14:textId="77777777" w:rsidR="00073AC1" w:rsidRPr="00073AC1" w:rsidRDefault="00073AC1" w:rsidP="00073AC1">
            <w:pPr>
              <w:numPr>
                <w:ilvl w:val="0"/>
                <w:numId w:val="9"/>
              </w:numPr>
              <w:tabs>
                <w:tab w:val="clear" w:pos="1980"/>
                <w:tab w:val="num" w:pos="1134"/>
              </w:tabs>
              <w:spacing w:after="0" w:line="240" w:lineRule="auto"/>
              <w:ind w:left="1134" w:hanging="425"/>
              <w:rPr>
                <w:rFonts w:cs="Arial"/>
                <w:snapToGrid w:val="0"/>
                <w:sz w:val="20"/>
                <w:szCs w:val="20"/>
              </w:rPr>
            </w:pPr>
            <w:r w:rsidRPr="00073AC1">
              <w:rPr>
                <w:rFonts w:cs="Arial"/>
                <w:snapToGrid w:val="0"/>
                <w:sz w:val="20"/>
                <w:szCs w:val="20"/>
              </w:rPr>
              <w:t>Calculate and interpret pre-test and post-test probabilities, (sensitivity, specificity, PPV, NPV, likelihood ratios), test/treatment thresholds.</w:t>
            </w:r>
          </w:p>
        </w:tc>
      </w:tr>
      <w:tr w:rsidR="00073AC1" w:rsidRPr="00073AC1" w14:paraId="0EE07FD7" w14:textId="77777777" w:rsidTr="00073AC1">
        <w:tc>
          <w:tcPr>
            <w:tcW w:w="9276" w:type="dxa"/>
            <w:shd w:val="clear" w:color="auto" w:fill="auto"/>
          </w:tcPr>
          <w:p w14:paraId="0D6E9415" w14:textId="77777777" w:rsidR="00073AC1" w:rsidRPr="00073AC1" w:rsidRDefault="00073AC1" w:rsidP="00073AC1">
            <w:pPr>
              <w:numPr>
                <w:ilvl w:val="0"/>
                <w:numId w:val="9"/>
              </w:numPr>
              <w:tabs>
                <w:tab w:val="clear" w:pos="1980"/>
                <w:tab w:val="num" w:pos="1134"/>
              </w:tabs>
              <w:spacing w:after="0" w:line="240" w:lineRule="auto"/>
              <w:ind w:left="1134" w:hanging="425"/>
              <w:rPr>
                <w:rFonts w:cs="Arial"/>
                <w:snapToGrid w:val="0"/>
                <w:sz w:val="20"/>
                <w:szCs w:val="20"/>
              </w:rPr>
            </w:pPr>
            <w:r w:rsidRPr="00073AC1">
              <w:rPr>
                <w:rFonts w:cs="Arial"/>
                <w:bCs/>
                <w:snapToGrid w:val="0"/>
                <w:sz w:val="20"/>
                <w:szCs w:val="20"/>
              </w:rPr>
              <w:t>Describe and distinguish between</w:t>
            </w:r>
            <w:r w:rsidRPr="00073AC1">
              <w:rPr>
                <w:rFonts w:cs="Arial"/>
                <w:snapToGrid w:val="0"/>
                <w:sz w:val="20"/>
                <w:szCs w:val="20"/>
              </w:rPr>
              <w:t xml:space="preserve"> statistical and clinical significance.</w:t>
            </w:r>
          </w:p>
        </w:tc>
      </w:tr>
      <w:tr w:rsidR="00073AC1" w:rsidRPr="00073AC1" w14:paraId="265819A2" w14:textId="77777777" w:rsidTr="00073AC1">
        <w:tc>
          <w:tcPr>
            <w:tcW w:w="9276" w:type="dxa"/>
            <w:shd w:val="clear" w:color="auto" w:fill="auto"/>
          </w:tcPr>
          <w:p w14:paraId="559518FF" w14:textId="77777777" w:rsidR="00073AC1" w:rsidRPr="00073AC1" w:rsidRDefault="00073AC1" w:rsidP="00073AC1">
            <w:pPr>
              <w:numPr>
                <w:ilvl w:val="0"/>
                <w:numId w:val="9"/>
              </w:numPr>
              <w:tabs>
                <w:tab w:val="clear" w:pos="1980"/>
                <w:tab w:val="num" w:pos="1134"/>
              </w:tabs>
              <w:spacing w:after="0" w:line="240" w:lineRule="auto"/>
              <w:ind w:left="1134" w:hanging="425"/>
              <w:rPr>
                <w:rFonts w:cs="Arial"/>
                <w:snapToGrid w:val="0"/>
                <w:sz w:val="20"/>
                <w:szCs w:val="20"/>
              </w:rPr>
            </w:pPr>
            <w:r w:rsidRPr="00073AC1">
              <w:rPr>
                <w:rFonts w:cs="Arial"/>
                <w:snapToGrid w:val="0"/>
                <w:sz w:val="20"/>
                <w:szCs w:val="20"/>
              </w:rPr>
              <w:t>Describe criteria for what makes a good screening test and apply the criteria to screening tests.</w:t>
            </w:r>
          </w:p>
        </w:tc>
      </w:tr>
      <w:tr w:rsidR="00073AC1" w:rsidRPr="00073AC1" w14:paraId="2E0DF183" w14:textId="77777777" w:rsidTr="00073AC1">
        <w:tc>
          <w:tcPr>
            <w:tcW w:w="9276" w:type="dxa"/>
            <w:shd w:val="clear" w:color="auto" w:fill="auto"/>
          </w:tcPr>
          <w:p w14:paraId="1CDC34F2" w14:textId="77777777" w:rsidR="00073AC1" w:rsidRPr="00073AC1" w:rsidRDefault="00073AC1" w:rsidP="00073AC1">
            <w:pPr>
              <w:tabs>
                <w:tab w:val="num" w:pos="1440"/>
              </w:tabs>
              <w:spacing w:after="0" w:line="240" w:lineRule="auto"/>
              <w:rPr>
                <w:rFonts w:cs="Arial"/>
                <w:b/>
                <w:snapToGrid w:val="0"/>
                <w:sz w:val="20"/>
                <w:szCs w:val="20"/>
              </w:rPr>
            </w:pPr>
            <w:r w:rsidRPr="00073AC1">
              <w:rPr>
                <w:rFonts w:cs="Arial"/>
                <w:b/>
                <w:snapToGrid w:val="0"/>
                <w:sz w:val="20"/>
                <w:szCs w:val="20"/>
              </w:rPr>
              <w:t>Implementing Evidence for patient care</w:t>
            </w:r>
          </w:p>
        </w:tc>
      </w:tr>
      <w:tr w:rsidR="00073AC1" w:rsidRPr="00073AC1" w14:paraId="1B4AA76D" w14:textId="77777777" w:rsidTr="00073AC1">
        <w:tc>
          <w:tcPr>
            <w:tcW w:w="9276" w:type="dxa"/>
            <w:shd w:val="clear" w:color="auto" w:fill="auto"/>
          </w:tcPr>
          <w:p w14:paraId="67F708CD" w14:textId="77777777" w:rsidR="00073AC1" w:rsidRPr="00073AC1" w:rsidRDefault="00073AC1" w:rsidP="00073AC1">
            <w:pPr>
              <w:numPr>
                <w:ilvl w:val="0"/>
                <w:numId w:val="8"/>
              </w:numPr>
              <w:spacing w:after="0" w:line="240" w:lineRule="auto"/>
              <w:ind w:left="1134" w:hanging="425"/>
              <w:rPr>
                <w:rFonts w:cs="Arial"/>
                <w:snapToGrid w:val="0"/>
                <w:sz w:val="20"/>
                <w:szCs w:val="20"/>
              </w:rPr>
            </w:pPr>
            <w:r w:rsidRPr="00073AC1">
              <w:rPr>
                <w:rFonts w:cs="Arial"/>
                <w:snapToGrid w:val="0"/>
                <w:sz w:val="20"/>
                <w:szCs w:val="20"/>
              </w:rPr>
              <w:t xml:space="preserve">Communicate evidence to patients, </w:t>
            </w:r>
            <w:r w:rsidRPr="00073AC1">
              <w:rPr>
                <w:rFonts w:cs="Arial"/>
                <w:snapToGrid w:val="0"/>
                <w:color w:val="000000"/>
                <w:sz w:val="20"/>
                <w:szCs w:val="20"/>
              </w:rPr>
              <w:t>describing how values can introduce appropriate and inappropriate biases into patient-physician communications.</w:t>
            </w:r>
          </w:p>
        </w:tc>
      </w:tr>
      <w:tr w:rsidR="00073AC1" w:rsidRPr="00073AC1" w14:paraId="47AA03BF" w14:textId="77777777" w:rsidTr="00073AC1">
        <w:tc>
          <w:tcPr>
            <w:tcW w:w="9276" w:type="dxa"/>
            <w:shd w:val="clear" w:color="auto" w:fill="auto"/>
          </w:tcPr>
          <w:p w14:paraId="1A05B93F" w14:textId="17E8AD19" w:rsidR="00073AC1" w:rsidRPr="00073AC1" w:rsidRDefault="00073AC1" w:rsidP="00073AC1">
            <w:pPr>
              <w:numPr>
                <w:ilvl w:val="0"/>
                <w:numId w:val="8"/>
              </w:numPr>
              <w:spacing w:after="0" w:line="240" w:lineRule="auto"/>
              <w:ind w:left="1134" w:hanging="425"/>
              <w:rPr>
                <w:rFonts w:cs="Arial"/>
                <w:snapToGrid w:val="0"/>
                <w:sz w:val="20"/>
                <w:szCs w:val="20"/>
              </w:rPr>
            </w:pPr>
            <w:r w:rsidRPr="00073AC1">
              <w:rPr>
                <w:rFonts w:cs="Arial"/>
                <w:snapToGrid w:val="0"/>
                <w:color w:val="000000"/>
                <w:sz w:val="20"/>
                <w:szCs w:val="20"/>
              </w:rPr>
              <w:lastRenderedPageBreak/>
              <w:t>Integrate</w:t>
            </w:r>
            <w:r w:rsidR="007C6EF8">
              <w:rPr>
                <w:rFonts w:cs="Arial"/>
                <w:snapToGrid w:val="0"/>
                <w:color w:val="000000"/>
                <w:sz w:val="20"/>
                <w:szCs w:val="20"/>
              </w:rPr>
              <w:t xml:space="preserve"> evidence into common clinical </w:t>
            </w:r>
            <w:r w:rsidRPr="00073AC1">
              <w:rPr>
                <w:rFonts w:cs="Arial"/>
                <w:snapToGrid w:val="0"/>
                <w:color w:val="000000"/>
                <w:sz w:val="20"/>
                <w:szCs w:val="20"/>
              </w:rPr>
              <w:t xml:space="preserve">presentations  </w:t>
            </w:r>
          </w:p>
        </w:tc>
      </w:tr>
      <w:tr w:rsidR="00073AC1" w:rsidRPr="00073AC1" w14:paraId="37C41098" w14:textId="77777777" w:rsidTr="00073AC1">
        <w:tc>
          <w:tcPr>
            <w:tcW w:w="9276" w:type="dxa"/>
            <w:shd w:val="clear" w:color="auto" w:fill="auto"/>
          </w:tcPr>
          <w:p w14:paraId="605E8702" w14:textId="77777777" w:rsidR="00073AC1" w:rsidRPr="00073AC1" w:rsidRDefault="00073AC1" w:rsidP="00073AC1">
            <w:pPr>
              <w:numPr>
                <w:ilvl w:val="0"/>
                <w:numId w:val="8"/>
              </w:numPr>
              <w:spacing w:after="0" w:line="240" w:lineRule="auto"/>
              <w:ind w:left="1134" w:hanging="425"/>
              <w:rPr>
                <w:rFonts w:cs="Arial"/>
                <w:snapToGrid w:val="0"/>
                <w:color w:val="000000"/>
                <w:sz w:val="20"/>
                <w:szCs w:val="20"/>
              </w:rPr>
            </w:pPr>
            <w:r w:rsidRPr="00073AC1">
              <w:rPr>
                <w:rFonts w:cs="Arial"/>
                <w:snapToGrid w:val="0"/>
                <w:color w:val="000000"/>
                <w:sz w:val="20"/>
                <w:szCs w:val="20"/>
              </w:rPr>
              <w:t>Use the information in relation to patient care, health promotion, giving advice and information to patients, and research and education</w:t>
            </w:r>
          </w:p>
        </w:tc>
      </w:tr>
      <w:tr w:rsidR="00073AC1" w:rsidRPr="00073AC1" w14:paraId="11891F7D" w14:textId="77777777" w:rsidTr="00073AC1">
        <w:tc>
          <w:tcPr>
            <w:tcW w:w="9276" w:type="dxa"/>
            <w:shd w:val="clear" w:color="auto" w:fill="auto"/>
          </w:tcPr>
          <w:p w14:paraId="77BD740D" w14:textId="77777777" w:rsidR="00073AC1" w:rsidRPr="00073AC1" w:rsidRDefault="00073AC1" w:rsidP="00073AC1">
            <w:pPr>
              <w:numPr>
                <w:ilvl w:val="0"/>
                <w:numId w:val="8"/>
              </w:numPr>
              <w:spacing w:after="0" w:line="240" w:lineRule="auto"/>
              <w:ind w:left="1134" w:hanging="425"/>
              <w:rPr>
                <w:rFonts w:cs="Arial"/>
                <w:snapToGrid w:val="0"/>
                <w:sz w:val="20"/>
                <w:szCs w:val="20"/>
              </w:rPr>
            </w:pPr>
            <w:r w:rsidRPr="00073AC1">
              <w:rPr>
                <w:rFonts w:cs="Arial"/>
                <w:snapToGrid w:val="0"/>
                <w:sz w:val="20"/>
                <w:szCs w:val="20"/>
              </w:rPr>
              <w:t>Understand and have experience of the principles and methods of improvement, including audit</w:t>
            </w:r>
          </w:p>
        </w:tc>
      </w:tr>
      <w:tr w:rsidR="00073AC1" w:rsidRPr="00073AC1" w14:paraId="4F1BBDDD" w14:textId="77777777" w:rsidTr="00073AC1">
        <w:tc>
          <w:tcPr>
            <w:tcW w:w="9276" w:type="dxa"/>
            <w:shd w:val="clear" w:color="auto" w:fill="auto"/>
          </w:tcPr>
          <w:p w14:paraId="5489B88E" w14:textId="77777777" w:rsidR="00073AC1" w:rsidRPr="00073AC1" w:rsidRDefault="00073AC1" w:rsidP="00073AC1">
            <w:pPr>
              <w:numPr>
                <w:ilvl w:val="0"/>
                <w:numId w:val="8"/>
              </w:numPr>
              <w:spacing w:after="0" w:line="240" w:lineRule="auto"/>
              <w:ind w:left="1134" w:hanging="425"/>
              <w:rPr>
                <w:rFonts w:cs="Arial"/>
                <w:snapToGrid w:val="0"/>
                <w:sz w:val="20"/>
                <w:szCs w:val="20"/>
              </w:rPr>
            </w:pPr>
            <w:r w:rsidRPr="00073AC1">
              <w:rPr>
                <w:rFonts w:cs="Arial"/>
                <w:snapToGrid w:val="0"/>
                <w:sz w:val="20"/>
                <w:szCs w:val="20"/>
              </w:rPr>
              <w:t xml:space="preserve">Access information sources and use the information in relation to patient care, health promotion, giving advice and information to patients, and research and education </w:t>
            </w:r>
          </w:p>
        </w:tc>
      </w:tr>
    </w:tbl>
    <w:p w14:paraId="6B700B52" w14:textId="77777777" w:rsidR="00A51F29" w:rsidRPr="00073AC1" w:rsidRDefault="00A51F29" w:rsidP="00073AC1">
      <w:pPr>
        <w:spacing w:after="0" w:line="240" w:lineRule="auto"/>
        <w:rPr>
          <w:rFonts w:eastAsia="Times New Roman" w:cs="Helvetica"/>
          <w:b/>
          <w:sz w:val="20"/>
          <w:szCs w:val="20"/>
        </w:rPr>
      </w:pPr>
    </w:p>
    <w:p w14:paraId="446F3296" w14:textId="738B5C66" w:rsidR="00A51F29" w:rsidRPr="00073AC1" w:rsidRDefault="00A51F29" w:rsidP="00073AC1">
      <w:pPr>
        <w:spacing w:after="0" w:line="240" w:lineRule="auto"/>
        <w:rPr>
          <w:rFonts w:eastAsia="Times New Roman" w:cs="Helvetica"/>
          <w:b/>
          <w:sz w:val="24"/>
          <w:szCs w:val="20"/>
        </w:rPr>
      </w:pPr>
      <w:r w:rsidRPr="00073AC1">
        <w:rPr>
          <w:rFonts w:eastAsia="Times New Roman" w:cs="Helvetica"/>
          <w:b/>
          <w:sz w:val="24"/>
          <w:szCs w:val="20"/>
        </w:rPr>
        <w:t xml:space="preserve">The core </w:t>
      </w:r>
      <w:r w:rsidR="00073AC1" w:rsidRPr="00073AC1">
        <w:rPr>
          <w:rFonts w:eastAsia="Times New Roman" w:cs="Helvetica"/>
          <w:b/>
          <w:sz w:val="24"/>
          <w:szCs w:val="20"/>
        </w:rPr>
        <w:t>competencies for EBM</w:t>
      </w:r>
      <w:r w:rsidRPr="00073AC1">
        <w:rPr>
          <w:rFonts w:eastAsia="Times New Roman" w:cs="Helvetica"/>
          <w:b/>
          <w:sz w:val="24"/>
          <w:szCs w:val="20"/>
        </w:rPr>
        <w:t xml:space="preserve"> map to the </w:t>
      </w:r>
      <w:r w:rsidRPr="00073AC1">
        <w:rPr>
          <w:b/>
          <w:sz w:val="24"/>
          <w:szCs w:val="20"/>
        </w:rPr>
        <w:t>GMC tomorrow’s doctor in the following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0816E5" w:rsidRPr="00073AC1" w14:paraId="76774C79" w14:textId="77777777" w:rsidTr="00073AC1">
        <w:tc>
          <w:tcPr>
            <w:tcW w:w="9242" w:type="dxa"/>
            <w:gridSpan w:val="2"/>
          </w:tcPr>
          <w:p w14:paraId="54986C15" w14:textId="77777777" w:rsidR="000816E5" w:rsidRPr="00073AC1" w:rsidRDefault="000816E5" w:rsidP="00073AC1">
            <w:pPr>
              <w:rPr>
                <w:b/>
                <w:sz w:val="20"/>
                <w:szCs w:val="20"/>
              </w:rPr>
            </w:pPr>
            <w:r w:rsidRPr="00073AC1">
              <w:rPr>
                <w:b/>
                <w:sz w:val="20"/>
                <w:szCs w:val="20"/>
              </w:rPr>
              <w:t xml:space="preserve">Outcomes 1: The doctor as a scholar and a scientist </w:t>
            </w:r>
          </w:p>
        </w:tc>
      </w:tr>
      <w:tr w:rsidR="00F5410A" w:rsidRPr="00073AC1" w14:paraId="5D8D22D7" w14:textId="77777777" w:rsidTr="00073AC1">
        <w:tc>
          <w:tcPr>
            <w:tcW w:w="2802" w:type="dxa"/>
          </w:tcPr>
          <w:p w14:paraId="59BDBEE8" w14:textId="77777777" w:rsidR="00F5410A" w:rsidRPr="00073AC1" w:rsidRDefault="00E90EDA" w:rsidP="00073AC1">
            <w:pPr>
              <w:rPr>
                <w:b/>
                <w:sz w:val="20"/>
                <w:szCs w:val="20"/>
              </w:rPr>
            </w:pPr>
            <w:r w:rsidRPr="00073AC1">
              <w:rPr>
                <w:b/>
                <w:sz w:val="20"/>
                <w:szCs w:val="20"/>
              </w:rPr>
              <w:t>Domain</w:t>
            </w:r>
            <w:r w:rsidR="00F5410A" w:rsidRPr="00073AC1">
              <w:rPr>
                <w:b/>
                <w:sz w:val="20"/>
                <w:szCs w:val="20"/>
              </w:rPr>
              <w:t xml:space="preserve"> 11</w:t>
            </w:r>
          </w:p>
        </w:tc>
        <w:tc>
          <w:tcPr>
            <w:tcW w:w="6440" w:type="dxa"/>
          </w:tcPr>
          <w:p w14:paraId="5F51BB59" w14:textId="77777777" w:rsidR="00F5410A" w:rsidRPr="00073AC1" w:rsidRDefault="00F5410A" w:rsidP="00073AC1">
            <w:pPr>
              <w:rPr>
                <w:b/>
                <w:sz w:val="20"/>
                <w:szCs w:val="20"/>
              </w:rPr>
            </w:pPr>
            <w:r w:rsidRPr="00073AC1">
              <w:rPr>
                <w:b/>
                <w:sz w:val="20"/>
                <w:szCs w:val="20"/>
              </w:rPr>
              <w:t>Apply to medical practice the principle, methods and knowledge of population health and improvement of health and healthcare</w:t>
            </w:r>
          </w:p>
        </w:tc>
      </w:tr>
      <w:tr w:rsidR="00F5410A" w:rsidRPr="00073AC1" w14:paraId="4D289165" w14:textId="77777777" w:rsidTr="00073AC1">
        <w:tc>
          <w:tcPr>
            <w:tcW w:w="2802" w:type="dxa"/>
          </w:tcPr>
          <w:p w14:paraId="0A7E8653" w14:textId="77777777" w:rsidR="00F5410A" w:rsidRPr="00073AC1" w:rsidRDefault="00F5410A" w:rsidP="00073AC1">
            <w:pPr>
              <w:rPr>
                <w:sz w:val="20"/>
                <w:szCs w:val="20"/>
              </w:rPr>
            </w:pPr>
            <w:r w:rsidRPr="00073AC1">
              <w:rPr>
                <w:sz w:val="20"/>
                <w:szCs w:val="20"/>
              </w:rPr>
              <w:t xml:space="preserve"> c </w:t>
            </w:r>
          </w:p>
        </w:tc>
        <w:tc>
          <w:tcPr>
            <w:tcW w:w="6440" w:type="dxa"/>
          </w:tcPr>
          <w:p w14:paraId="32F3C710" w14:textId="77777777" w:rsidR="00F5410A" w:rsidRPr="00073AC1" w:rsidRDefault="00F5410A" w:rsidP="00073AC1">
            <w:pPr>
              <w:rPr>
                <w:sz w:val="20"/>
                <w:szCs w:val="20"/>
              </w:rPr>
            </w:pPr>
            <w:r w:rsidRPr="00073AC1">
              <w:rPr>
                <w:sz w:val="20"/>
                <w:szCs w:val="20"/>
              </w:rPr>
              <w:t>Describe measurement methods relevant to the improvement of clinical effectiveness and care</w:t>
            </w:r>
          </w:p>
        </w:tc>
      </w:tr>
      <w:tr w:rsidR="00F5410A" w:rsidRPr="00073AC1" w14:paraId="48C39B1C" w14:textId="77777777" w:rsidTr="00073AC1">
        <w:tc>
          <w:tcPr>
            <w:tcW w:w="2802" w:type="dxa"/>
          </w:tcPr>
          <w:p w14:paraId="285EAEB4" w14:textId="77777777" w:rsidR="00F5410A" w:rsidRPr="00073AC1" w:rsidRDefault="00F5410A" w:rsidP="00073AC1">
            <w:pPr>
              <w:rPr>
                <w:sz w:val="20"/>
                <w:szCs w:val="20"/>
              </w:rPr>
            </w:pPr>
            <w:r w:rsidRPr="00073AC1">
              <w:rPr>
                <w:sz w:val="20"/>
                <w:szCs w:val="20"/>
              </w:rPr>
              <w:t>d</w:t>
            </w:r>
          </w:p>
        </w:tc>
        <w:tc>
          <w:tcPr>
            <w:tcW w:w="6440" w:type="dxa"/>
          </w:tcPr>
          <w:p w14:paraId="5360EF27" w14:textId="77777777" w:rsidR="00F5410A" w:rsidRPr="00073AC1" w:rsidRDefault="00F5410A" w:rsidP="00073AC1">
            <w:pPr>
              <w:rPr>
                <w:sz w:val="20"/>
                <w:szCs w:val="20"/>
              </w:rPr>
            </w:pPr>
            <w:r w:rsidRPr="00073AC1">
              <w:rPr>
                <w:sz w:val="20"/>
                <w:szCs w:val="20"/>
              </w:rPr>
              <w:t xml:space="preserve">Discuss the principles underlying the development of health and health services policy, including issues relating to health economics and equity, and clinical guidelines. </w:t>
            </w:r>
          </w:p>
        </w:tc>
      </w:tr>
      <w:tr w:rsidR="00F5410A" w:rsidRPr="00073AC1" w14:paraId="273EA942" w14:textId="77777777" w:rsidTr="00073AC1">
        <w:tc>
          <w:tcPr>
            <w:tcW w:w="2802" w:type="dxa"/>
          </w:tcPr>
          <w:p w14:paraId="13226940" w14:textId="77777777" w:rsidR="00F5410A" w:rsidRPr="00073AC1" w:rsidRDefault="00F5410A" w:rsidP="00073AC1">
            <w:pPr>
              <w:rPr>
                <w:b/>
                <w:sz w:val="20"/>
                <w:szCs w:val="20"/>
              </w:rPr>
            </w:pPr>
          </w:p>
          <w:p w14:paraId="2A2C7B31" w14:textId="77777777" w:rsidR="00F5410A" w:rsidRPr="00073AC1" w:rsidRDefault="00E90EDA" w:rsidP="00073AC1">
            <w:pPr>
              <w:rPr>
                <w:b/>
                <w:sz w:val="20"/>
                <w:szCs w:val="20"/>
              </w:rPr>
            </w:pPr>
            <w:r w:rsidRPr="00073AC1">
              <w:rPr>
                <w:b/>
                <w:sz w:val="20"/>
                <w:szCs w:val="20"/>
              </w:rPr>
              <w:t xml:space="preserve">Domain </w:t>
            </w:r>
            <w:r w:rsidR="00F5410A" w:rsidRPr="00073AC1">
              <w:rPr>
                <w:b/>
                <w:sz w:val="20"/>
                <w:szCs w:val="20"/>
              </w:rPr>
              <w:t xml:space="preserve">12 </w:t>
            </w:r>
          </w:p>
        </w:tc>
        <w:tc>
          <w:tcPr>
            <w:tcW w:w="6440" w:type="dxa"/>
          </w:tcPr>
          <w:p w14:paraId="077ED076" w14:textId="77777777" w:rsidR="00F5410A" w:rsidRPr="00073AC1" w:rsidRDefault="00F5410A" w:rsidP="00073AC1">
            <w:pPr>
              <w:rPr>
                <w:b/>
                <w:sz w:val="20"/>
                <w:szCs w:val="20"/>
              </w:rPr>
            </w:pPr>
          </w:p>
          <w:p w14:paraId="270FE130" w14:textId="77777777" w:rsidR="00F5410A" w:rsidRPr="00073AC1" w:rsidRDefault="00F5410A" w:rsidP="00073AC1">
            <w:pPr>
              <w:rPr>
                <w:b/>
                <w:sz w:val="20"/>
                <w:szCs w:val="20"/>
              </w:rPr>
            </w:pPr>
            <w:r w:rsidRPr="00073AC1">
              <w:rPr>
                <w:b/>
                <w:sz w:val="20"/>
                <w:szCs w:val="20"/>
              </w:rPr>
              <w:t xml:space="preserve">Apply scientific methods and approaches to medical research </w:t>
            </w:r>
          </w:p>
        </w:tc>
      </w:tr>
      <w:tr w:rsidR="00F5410A" w:rsidRPr="00073AC1" w14:paraId="37F9E90B" w14:textId="77777777" w:rsidTr="00073AC1">
        <w:tc>
          <w:tcPr>
            <w:tcW w:w="2802" w:type="dxa"/>
          </w:tcPr>
          <w:p w14:paraId="29F01302" w14:textId="77777777" w:rsidR="00F5410A" w:rsidRPr="00073AC1" w:rsidRDefault="00F5410A" w:rsidP="00073AC1">
            <w:pPr>
              <w:rPr>
                <w:sz w:val="20"/>
                <w:szCs w:val="20"/>
              </w:rPr>
            </w:pPr>
            <w:r w:rsidRPr="00073AC1">
              <w:rPr>
                <w:sz w:val="20"/>
                <w:szCs w:val="20"/>
              </w:rPr>
              <w:t>a</w:t>
            </w:r>
          </w:p>
        </w:tc>
        <w:tc>
          <w:tcPr>
            <w:tcW w:w="6440" w:type="dxa"/>
          </w:tcPr>
          <w:p w14:paraId="7A15F8E2" w14:textId="77777777" w:rsidR="00F5410A" w:rsidRPr="00073AC1" w:rsidRDefault="00F5410A" w:rsidP="00073AC1">
            <w:pPr>
              <w:rPr>
                <w:sz w:val="20"/>
                <w:szCs w:val="20"/>
              </w:rPr>
            </w:pPr>
            <w:r w:rsidRPr="00073AC1">
              <w:rPr>
                <w:sz w:val="20"/>
                <w:szCs w:val="20"/>
              </w:rPr>
              <w:t xml:space="preserve">Critically appraise the results of relevant diagnostic prognostic and treatment trial and other qualitative and quantitative studies as reported in the medical literature </w:t>
            </w:r>
          </w:p>
        </w:tc>
      </w:tr>
      <w:tr w:rsidR="00F5410A" w:rsidRPr="00073AC1" w14:paraId="758F5B03" w14:textId="77777777" w:rsidTr="00073AC1">
        <w:tc>
          <w:tcPr>
            <w:tcW w:w="2802" w:type="dxa"/>
          </w:tcPr>
          <w:p w14:paraId="096E170D" w14:textId="77777777" w:rsidR="00F5410A" w:rsidRPr="00073AC1" w:rsidRDefault="000816E5" w:rsidP="00073AC1">
            <w:pPr>
              <w:rPr>
                <w:sz w:val="20"/>
                <w:szCs w:val="20"/>
              </w:rPr>
            </w:pPr>
            <w:r w:rsidRPr="00073AC1">
              <w:rPr>
                <w:sz w:val="20"/>
                <w:szCs w:val="20"/>
              </w:rPr>
              <w:t>b</w:t>
            </w:r>
          </w:p>
        </w:tc>
        <w:tc>
          <w:tcPr>
            <w:tcW w:w="6440" w:type="dxa"/>
          </w:tcPr>
          <w:p w14:paraId="5F770F35" w14:textId="77777777" w:rsidR="00F5410A" w:rsidRPr="00073AC1" w:rsidRDefault="00F5410A" w:rsidP="00073AC1">
            <w:pPr>
              <w:rPr>
                <w:sz w:val="20"/>
                <w:szCs w:val="20"/>
              </w:rPr>
            </w:pPr>
            <w:r w:rsidRPr="00073AC1">
              <w:rPr>
                <w:sz w:val="20"/>
                <w:szCs w:val="20"/>
              </w:rPr>
              <w:t>Formulate simple relevant research question on biomedical sciences, psychosocial science or population science, and design appropriate studies or experiments to address these questions</w:t>
            </w:r>
          </w:p>
        </w:tc>
      </w:tr>
      <w:tr w:rsidR="00F5410A" w:rsidRPr="00073AC1" w14:paraId="51552056" w14:textId="77777777" w:rsidTr="00073AC1">
        <w:tc>
          <w:tcPr>
            <w:tcW w:w="2802" w:type="dxa"/>
          </w:tcPr>
          <w:p w14:paraId="17A37E79" w14:textId="77777777" w:rsidR="00F5410A" w:rsidRPr="00073AC1" w:rsidRDefault="000816E5" w:rsidP="00073AC1">
            <w:pPr>
              <w:rPr>
                <w:sz w:val="20"/>
                <w:szCs w:val="20"/>
              </w:rPr>
            </w:pPr>
            <w:r w:rsidRPr="00073AC1">
              <w:rPr>
                <w:sz w:val="20"/>
                <w:szCs w:val="20"/>
              </w:rPr>
              <w:t>c</w:t>
            </w:r>
          </w:p>
        </w:tc>
        <w:tc>
          <w:tcPr>
            <w:tcW w:w="6440" w:type="dxa"/>
          </w:tcPr>
          <w:p w14:paraId="7637AF83" w14:textId="77777777" w:rsidR="00F5410A" w:rsidRPr="00073AC1" w:rsidRDefault="00F5410A" w:rsidP="00073AC1">
            <w:pPr>
              <w:rPr>
                <w:sz w:val="20"/>
                <w:szCs w:val="20"/>
              </w:rPr>
            </w:pPr>
            <w:r w:rsidRPr="00073AC1">
              <w:rPr>
                <w:sz w:val="20"/>
                <w:szCs w:val="20"/>
              </w:rPr>
              <w:t>Apply findings fr</w:t>
            </w:r>
            <w:r w:rsidR="005C6B04" w:rsidRPr="00073AC1">
              <w:rPr>
                <w:sz w:val="20"/>
                <w:szCs w:val="20"/>
              </w:rPr>
              <w:t>o</w:t>
            </w:r>
            <w:r w:rsidRPr="00073AC1">
              <w:rPr>
                <w:sz w:val="20"/>
                <w:szCs w:val="20"/>
              </w:rPr>
              <w:t xml:space="preserve">m the literature to answer questions raised by specific clinical problems </w:t>
            </w:r>
          </w:p>
        </w:tc>
      </w:tr>
      <w:tr w:rsidR="000816E5" w:rsidRPr="00073AC1" w14:paraId="5B18B2D9" w14:textId="77777777" w:rsidTr="00073AC1">
        <w:tc>
          <w:tcPr>
            <w:tcW w:w="9242" w:type="dxa"/>
            <w:gridSpan w:val="2"/>
          </w:tcPr>
          <w:p w14:paraId="49C664E0" w14:textId="62ECE05D" w:rsidR="000816E5" w:rsidRPr="00073AC1" w:rsidRDefault="00CE5269" w:rsidP="00073AC1">
            <w:pPr>
              <w:rPr>
                <w:b/>
                <w:sz w:val="20"/>
                <w:szCs w:val="20"/>
              </w:rPr>
            </w:pPr>
            <w:r w:rsidRPr="00073AC1">
              <w:rPr>
                <w:b/>
                <w:sz w:val="20"/>
                <w:szCs w:val="20"/>
              </w:rPr>
              <w:t xml:space="preserve">Outcomes 2: </w:t>
            </w:r>
            <w:r w:rsidR="00073AC1" w:rsidRPr="00073AC1">
              <w:rPr>
                <w:b/>
                <w:sz w:val="20"/>
                <w:szCs w:val="20"/>
              </w:rPr>
              <w:t>The doctor as a practitioner</w:t>
            </w:r>
            <w:r w:rsidR="000816E5" w:rsidRPr="00073AC1">
              <w:rPr>
                <w:b/>
                <w:sz w:val="20"/>
                <w:szCs w:val="20"/>
              </w:rPr>
              <w:t xml:space="preserve"> </w:t>
            </w:r>
          </w:p>
        </w:tc>
      </w:tr>
      <w:tr w:rsidR="000816E5" w:rsidRPr="00073AC1" w14:paraId="01313E39" w14:textId="77777777" w:rsidTr="00073AC1">
        <w:tc>
          <w:tcPr>
            <w:tcW w:w="2802" w:type="dxa"/>
          </w:tcPr>
          <w:p w14:paraId="5D9227FD" w14:textId="77777777" w:rsidR="000816E5" w:rsidRPr="00073AC1" w:rsidRDefault="00E90EDA" w:rsidP="00073AC1">
            <w:pPr>
              <w:rPr>
                <w:b/>
                <w:sz w:val="20"/>
                <w:szCs w:val="20"/>
              </w:rPr>
            </w:pPr>
            <w:r w:rsidRPr="00073AC1">
              <w:rPr>
                <w:b/>
                <w:sz w:val="20"/>
                <w:szCs w:val="20"/>
              </w:rPr>
              <w:t>Domain</w:t>
            </w:r>
            <w:r w:rsidR="000816E5" w:rsidRPr="00073AC1">
              <w:rPr>
                <w:b/>
                <w:sz w:val="20"/>
                <w:szCs w:val="20"/>
              </w:rPr>
              <w:t xml:space="preserve"> 14</w:t>
            </w:r>
          </w:p>
        </w:tc>
        <w:tc>
          <w:tcPr>
            <w:tcW w:w="6440" w:type="dxa"/>
          </w:tcPr>
          <w:p w14:paraId="4B150A19" w14:textId="77777777" w:rsidR="000816E5" w:rsidRPr="00073AC1" w:rsidRDefault="000816E5" w:rsidP="00073AC1">
            <w:pPr>
              <w:rPr>
                <w:b/>
                <w:sz w:val="20"/>
                <w:szCs w:val="20"/>
              </w:rPr>
            </w:pPr>
            <w:r w:rsidRPr="00073AC1">
              <w:rPr>
                <w:b/>
                <w:sz w:val="20"/>
                <w:szCs w:val="20"/>
              </w:rPr>
              <w:t xml:space="preserve">Diagnose and manage clinical presentations </w:t>
            </w:r>
          </w:p>
        </w:tc>
      </w:tr>
      <w:tr w:rsidR="000816E5" w:rsidRPr="00073AC1" w14:paraId="03CD9699" w14:textId="77777777" w:rsidTr="00073AC1">
        <w:tc>
          <w:tcPr>
            <w:tcW w:w="2802" w:type="dxa"/>
          </w:tcPr>
          <w:p w14:paraId="592CBBB7" w14:textId="77777777" w:rsidR="000816E5" w:rsidRPr="00073AC1" w:rsidRDefault="000816E5" w:rsidP="00073AC1">
            <w:pPr>
              <w:rPr>
                <w:b/>
                <w:sz w:val="20"/>
                <w:szCs w:val="20"/>
              </w:rPr>
            </w:pPr>
            <w:r w:rsidRPr="00073AC1">
              <w:rPr>
                <w:b/>
                <w:sz w:val="20"/>
                <w:szCs w:val="20"/>
              </w:rPr>
              <w:t>f</w:t>
            </w:r>
          </w:p>
        </w:tc>
        <w:tc>
          <w:tcPr>
            <w:tcW w:w="6440" w:type="dxa"/>
          </w:tcPr>
          <w:p w14:paraId="242A3F5D" w14:textId="03114BDF" w:rsidR="000816E5" w:rsidRPr="00073AC1" w:rsidRDefault="000816E5" w:rsidP="00073AC1">
            <w:pPr>
              <w:rPr>
                <w:sz w:val="20"/>
                <w:szCs w:val="20"/>
              </w:rPr>
            </w:pPr>
            <w:r w:rsidRPr="00073AC1">
              <w:rPr>
                <w:sz w:val="20"/>
                <w:szCs w:val="20"/>
              </w:rPr>
              <w:t>Make clinical judgments and dec</w:t>
            </w:r>
            <w:r w:rsidR="00A5558F" w:rsidRPr="00073AC1">
              <w:rPr>
                <w:sz w:val="20"/>
                <w:szCs w:val="20"/>
              </w:rPr>
              <w:t>i</w:t>
            </w:r>
            <w:r w:rsidRPr="00073AC1">
              <w:rPr>
                <w:sz w:val="20"/>
                <w:szCs w:val="20"/>
              </w:rPr>
              <w:t xml:space="preserve">sions </w:t>
            </w:r>
            <w:r w:rsidR="00A5558F" w:rsidRPr="00073AC1">
              <w:rPr>
                <w:sz w:val="20"/>
                <w:szCs w:val="20"/>
              </w:rPr>
              <w:t>based on the level of evidence, in conjunction with colleagues and as appropriate for the graduate’s l</w:t>
            </w:r>
            <w:r w:rsidR="007C6EF8">
              <w:rPr>
                <w:sz w:val="20"/>
                <w:szCs w:val="20"/>
              </w:rPr>
              <w:t>evel of training and experience,</w:t>
            </w:r>
            <w:r w:rsidR="00A5558F" w:rsidRPr="00073AC1">
              <w:rPr>
                <w:sz w:val="20"/>
                <w:szCs w:val="20"/>
              </w:rPr>
              <w:t xml:space="preserve"> this may include situations of uncertainty</w:t>
            </w:r>
          </w:p>
        </w:tc>
      </w:tr>
      <w:tr w:rsidR="00F5410A" w:rsidRPr="00073AC1" w14:paraId="164A7F1E" w14:textId="77777777" w:rsidTr="00073AC1">
        <w:tc>
          <w:tcPr>
            <w:tcW w:w="2802" w:type="dxa"/>
          </w:tcPr>
          <w:p w14:paraId="01172DD3" w14:textId="77777777" w:rsidR="00F5410A" w:rsidRPr="00073AC1" w:rsidRDefault="00E90EDA" w:rsidP="00073AC1">
            <w:pPr>
              <w:rPr>
                <w:b/>
                <w:sz w:val="20"/>
                <w:szCs w:val="20"/>
              </w:rPr>
            </w:pPr>
            <w:r w:rsidRPr="00073AC1">
              <w:rPr>
                <w:b/>
                <w:sz w:val="20"/>
                <w:szCs w:val="20"/>
              </w:rPr>
              <w:t>Domain</w:t>
            </w:r>
            <w:r w:rsidR="004F1DDE" w:rsidRPr="00073AC1">
              <w:rPr>
                <w:b/>
                <w:sz w:val="20"/>
                <w:szCs w:val="20"/>
              </w:rPr>
              <w:t xml:space="preserve"> 19</w:t>
            </w:r>
          </w:p>
        </w:tc>
        <w:tc>
          <w:tcPr>
            <w:tcW w:w="6440" w:type="dxa"/>
          </w:tcPr>
          <w:p w14:paraId="71459AA4" w14:textId="77777777" w:rsidR="00F5410A" w:rsidRPr="00073AC1" w:rsidRDefault="004F1DDE" w:rsidP="00073AC1">
            <w:pPr>
              <w:rPr>
                <w:b/>
                <w:sz w:val="20"/>
                <w:szCs w:val="20"/>
              </w:rPr>
            </w:pPr>
            <w:r w:rsidRPr="00073AC1">
              <w:rPr>
                <w:b/>
                <w:sz w:val="20"/>
                <w:szCs w:val="20"/>
              </w:rPr>
              <w:t>Use information effectively in a medical context</w:t>
            </w:r>
          </w:p>
        </w:tc>
      </w:tr>
      <w:tr w:rsidR="00F5410A" w:rsidRPr="00073AC1" w14:paraId="52D1E99F" w14:textId="77777777" w:rsidTr="00073AC1">
        <w:tc>
          <w:tcPr>
            <w:tcW w:w="2802" w:type="dxa"/>
          </w:tcPr>
          <w:p w14:paraId="42FB5261" w14:textId="77777777" w:rsidR="00F5410A" w:rsidRPr="00073AC1" w:rsidRDefault="004F1DDE" w:rsidP="00073AC1">
            <w:pPr>
              <w:rPr>
                <w:sz w:val="20"/>
                <w:szCs w:val="20"/>
              </w:rPr>
            </w:pPr>
            <w:r w:rsidRPr="00073AC1">
              <w:rPr>
                <w:sz w:val="20"/>
                <w:szCs w:val="20"/>
              </w:rPr>
              <w:t>d</w:t>
            </w:r>
          </w:p>
        </w:tc>
        <w:tc>
          <w:tcPr>
            <w:tcW w:w="6440" w:type="dxa"/>
          </w:tcPr>
          <w:p w14:paraId="3E941AB8" w14:textId="77777777" w:rsidR="00F5410A" w:rsidRPr="00073AC1" w:rsidRDefault="004F1DDE" w:rsidP="00073AC1">
            <w:pPr>
              <w:rPr>
                <w:sz w:val="20"/>
                <w:szCs w:val="20"/>
              </w:rPr>
            </w:pPr>
            <w:r w:rsidRPr="00073AC1">
              <w:rPr>
                <w:sz w:val="20"/>
                <w:szCs w:val="20"/>
              </w:rPr>
              <w:t xml:space="preserve">Access information sources and use the information in relation to patient care, health promotion, giving advice and information to patients, and research and education </w:t>
            </w:r>
          </w:p>
        </w:tc>
      </w:tr>
      <w:tr w:rsidR="004549BB" w:rsidRPr="00073AC1" w14:paraId="41BCFB50" w14:textId="77777777" w:rsidTr="00073AC1">
        <w:tc>
          <w:tcPr>
            <w:tcW w:w="9242" w:type="dxa"/>
            <w:gridSpan w:val="2"/>
          </w:tcPr>
          <w:p w14:paraId="59FC5E5D" w14:textId="77777777" w:rsidR="004549BB" w:rsidRPr="00073AC1" w:rsidRDefault="00CE5269" w:rsidP="00073AC1">
            <w:pPr>
              <w:rPr>
                <w:b/>
                <w:sz w:val="20"/>
                <w:szCs w:val="20"/>
              </w:rPr>
            </w:pPr>
            <w:r w:rsidRPr="00073AC1">
              <w:rPr>
                <w:b/>
                <w:sz w:val="20"/>
                <w:szCs w:val="20"/>
              </w:rPr>
              <w:t xml:space="preserve">Outcomes 3:  </w:t>
            </w:r>
            <w:r w:rsidR="004549BB" w:rsidRPr="00073AC1">
              <w:rPr>
                <w:b/>
                <w:sz w:val="20"/>
                <w:szCs w:val="20"/>
              </w:rPr>
              <w:t xml:space="preserve">The doctor as a professional </w:t>
            </w:r>
          </w:p>
        </w:tc>
      </w:tr>
      <w:tr w:rsidR="00F5410A" w:rsidRPr="00073AC1" w14:paraId="3D73C95B" w14:textId="77777777" w:rsidTr="00073AC1">
        <w:tc>
          <w:tcPr>
            <w:tcW w:w="2802" w:type="dxa"/>
          </w:tcPr>
          <w:p w14:paraId="0A020AA0" w14:textId="77777777" w:rsidR="00F5410A" w:rsidRPr="00073AC1" w:rsidRDefault="00E90EDA" w:rsidP="00073AC1">
            <w:pPr>
              <w:rPr>
                <w:b/>
                <w:sz w:val="20"/>
                <w:szCs w:val="20"/>
              </w:rPr>
            </w:pPr>
            <w:r w:rsidRPr="00073AC1">
              <w:rPr>
                <w:b/>
                <w:sz w:val="20"/>
                <w:szCs w:val="20"/>
              </w:rPr>
              <w:t xml:space="preserve">Domain </w:t>
            </w:r>
            <w:r w:rsidR="004F1DDE" w:rsidRPr="00073AC1">
              <w:rPr>
                <w:b/>
                <w:sz w:val="20"/>
                <w:szCs w:val="20"/>
              </w:rPr>
              <w:t xml:space="preserve">21 </w:t>
            </w:r>
          </w:p>
        </w:tc>
        <w:tc>
          <w:tcPr>
            <w:tcW w:w="6440" w:type="dxa"/>
          </w:tcPr>
          <w:p w14:paraId="0B5E5872" w14:textId="77777777" w:rsidR="00F5410A" w:rsidRPr="00073AC1" w:rsidRDefault="004F1DDE" w:rsidP="00073AC1">
            <w:pPr>
              <w:rPr>
                <w:b/>
                <w:sz w:val="20"/>
                <w:szCs w:val="20"/>
              </w:rPr>
            </w:pPr>
            <w:r w:rsidRPr="00073AC1">
              <w:rPr>
                <w:b/>
                <w:sz w:val="20"/>
                <w:szCs w:val="20"/>
              </w:rPr>
              <w:t xml:space="preserve">Reflect, learn and teach others </w:t>
            </w:r>
          </w:p>
        </w:tc>
      </w:tr>
      <w:tr w:rsidR="00F5410A" w:rsidRPr="00073AC1" w14:paraId="18BD86F8" w14:textId="77777777" w:rsidTr="00073AC1">
        <w:tc>
          <w:tcPr>
            <w:tcW w:w="2802" w:type="dxa"/>
          </w:tcPr>
          <w:p w14:paraId="1E008DE3" w14:textId="77777777" w:rsidR="00F5410A" w:rsidRPr="00073AC1" w:rsidRDefault="004F1DDE" w:rsidP="00073AC1">
            <w:pPr>
              <w:rPr>
                <w:sz w:val="20"/>
                <w:szCs w:val="20"/>
              </w:rPr>
            </w:pPr>
            <w:r w:rsidRPr="00073AC1">
              <w:rPr>
                <w:sz w:val="20"/>
                <w:szCs w:val="20"/>
              </w:rPr>
              <w:t>a</w:t>
            </w:r>
          </w:p>
        </w:tc>
        <w:tc>
          <w:tcPr>
            <w:tcW w:w="6440" w:type="dxa"/>
          </w:tcPr>
          <w:p w14:paraId="1650118A" w14:textId="77777777" w:rsidR="00F5410A" w:rsidRPr="00073AC1" w:rsidRDefault="004F1DDE" w:rsidP="00073AC1">
            <w:pPr>
              <w:rPr>
                <w:sz w:val="20"/>
                <w:szCs w:val="20"/>
              </w:rPr>
            </w:pPr>
            <w:r w:rsidRPr="00073AC1">
              <w:rPr>
                <w:sz w:val="20"/>
                <w:szCs w:val="20"/>
              </w:rPr>
              <w:t>Acquire, assess apply and integrate new knowledge, learn to adapt to changing circumstances and ensure that patients receive the highest level of professional care.</w:t>
            </w:r>
          </w:p>
        </w:tc>
      </w:tr>
      <w:tr w:rsidR="00F5410A" w:rsidRPr="00073AC1" w14:paraId="7376EFF6" w14:textId="77777777" w:rsidTr="00073AC1">
        <w:tc>
          <w:tcPr>
            <w:tcW w:w="2802" w:type="dxa"/>
          </w:tcPr>
          <w:p w14:paraId="39EF9589" w14:textId="77777777" w:rsidR="00F5410A" w:rsidRPr="00073AC1" w:rsidRDefault="004F1DDE" w:rsidP="00073AC1">
            <w:pPr>
              <w:rPr>
                <w:sz w:val="20"/>
                <w:szCs w:val="20"/>
              </w:rPr>
            </w:pPr>
            <w:r w:rsidRPr="00073AC1">
              <w:rPr>
                <w:sz w:val="20"/>
                <w:szCs w:val="20"/>
              </w:rPr>
              <w:t>c</w:t>
            </w:r>
          </w:p>
        </w:tc>
        <w:tc>
          <w:tcPr>
            <w:tcW w:w="6440" w:type="dxa"/>
          </w:tcPr>
          <w:p w14:paraId="37488083" w14:textId="77777777" w:rsidR="00F5410A" w:rsidRPr="00073AC1" w:rsidRDefault="004F1DDE" w:rsidP="00073AC1">
            <w:pPr>
              <w:rPr>
                <w:sz w:val="20"/>
                <w:szCs w:val="20"/>
              </w:rPr>
            </w:pPr>
            <w:r w:rsidRPr="00073AC1">
              <w:rPr>
                <w:sz w:val="20"/>
                <w:szCs w:val="20"/>
              </w:rPr>
              <w:t xml:space="preserve">Continually and systematically reflect on practice and, whenever necessary, translate that reflection into action, using improvement techniques and audit appropriately for example, by critically appraising the prescribing of others. </w:t>
            </w:r>
          </w:p>
        </w:tc>
      </w:tr>
      <w:tr w:rsidR="004F1DDE" w:rsidRPr="00073AC1" w14:paraId="76FF0598" w14:textId="77777777" w:rsidTr="00073AC1">
        <w:tc>
          <w:tcPr>
            <w:tcW w:w="2802" w:type="dxa"/>
          </w:tcPr>
          <w:p w14:paraId="34E0B06C" w14:textId="77777777" w:rsidR="004F1DDE" w:rsidRPr="00073AC1" w:rsidRDefault="00E90EDA" w:rsidP="00073AC1">
            <w:pPr>
              <w:rPr>
                <w:b/>
                <w:sz w:val="20"/>
                <w:szCs w:val="20"/>
              </w:rPr>
            </w:pPr>
            <w:r w:rsidRPr="00073AC1">
              <w:rPr>
                <w:b/>
                <w:sz w:val="20"/>
                <w:szCs w:val="20"/>
              </w:rPr>
              <w:t>Domain</w:t>
            </w:r>
            <w:r w:rsidR="004F1DDE" w:rsidRPr="00073AC1">
              <w:rPr>
                <w:b/>
                <w:sz w:val="20"/>
                <w:szCs w:val="20"/>
              </w:rPr>
              <w:t xml:space="preserve"> 23 </w:t>
            </w:r>
          </w:p>
        </w:tc>
        <w:tc>
          <w:tcPr>
            <w:tcW w:w="6440" w:type="dxa"/>
          </w:tcPr>
          <w:p w14:paraId="2ADCE30C" w14:textId="77777777" w:rsidR="004F1DDE" w:rsidRPr="00073AC1" w:rsidRDefault="004F1DDE" w:rsidP="00073AC1">
            <w:pPr>
              <w:rPr>
                <w:b/>
                <w:sz w:val="20"/>
                <w:szCs w:val="20"/>
              </w:rPr>
            </w:pPr>
            <w:r w:rsidRPr="00073AC1">
              <w:rPr>
                <w:b/>
                <w:sz w:val="20"/>
                <w:szCs w:val="20"/>
              </w:rPr>
              <w:t>Protect patients and improve care</w:t>
            </w:r>
          </w:p>
        </w:tc>
      </w:tr>
      <w:tr w:rsidR="00F5410A" w:rsidRPr="00073AC1" w14:paraId="5E1DD598" w14:textId="77777777" w:rsidTr="00073AC1">
        <w:tc>
          <w:tcPr>
            <w:tcW w:w="2802" w:type="dxa"/>
          </w:tcPr>
          <w:p w14:paraId="308687F0" w14:textId="77777777" w:rsidR="00F5410A" w:rsidRPr="00073AC1" w:rsidRDefault="004F1DDE" w:rsidP="00073AC1">
            <w:pPr>
              <w:rPr>
                <w:sz w:val="20"/>
                <w:szCs w:val="20"/>
              </w:rPr>
            </w:pPr>
            <w:r w:rsidRPr="00073AC1">
              <w:rPr>
                <w:sz w:val="20"/>
                <w:szCs w:val="20"/>
              </w:rPr>
              <w:t>e</w:t>
            </w:r>
          </w:p>
        </w:tc>
        <w:tc>
          <w:tcPr>
            <w:tcW w:w="6440" w:type="dxa"/>
          </w:tcPr>
          <w:p w14:paraId="3419D56F" w14:textId="77777777" w:rsidR="00F5410A" w:rsidRPr="00073AC1" w:rsidRDefault="004F1DDE" w:rsidP="00073AC1">
            <w:pPr>
              <w:rPr>
                <w:sz w:val="20"/>
                <w:szCs w:val="20"/>
              </w:rPr>
            </w:pPr>
            <w:r w:rsidRPr="00073AC1">
              <w:rPr>
                <w:sz w:val="20"/>
                <w:szCs w:val="20"/>
              </w:rPr>
              <w:t>Understand and have experience of the principles and methods of improvement, including audit, adverse incidence reporting and quality improvement, and how to use the results of audit t</w:t>
            </w:r>
            <w:r w:rsidR="005C6B04" w:rsidRPr="00073AC1">
              <w:rPr>
                <w:sz w:val="20"/>
                <w:szCs w:val="20"/>
              </w:rPr>
              <w:t>o</w:t>
            </w:r>
            <w:r w:rsidRPr="00073AC1">
              <w:rPr>
                <w:sz w:val="20"/>
                <w:szCs w:val="20"/>
              </w:rPr>
              <w:t xml:space="preserve"> improve practice</w:t>
            </w:r>
          </w:p>
        </w:tc>
      </w:tr>
    </w:tbl>
    <w:p w14:paraId="399812FE" w14:textId="77777777" w:rsidR="00C97FFA" w:rsidRPr="00073AC1" w:rsidRDefault="00C97FFA" w:rsidP="00073AC1">
      <w:pPr>
        <w:spacing w:after="0" w:line="240" w:lineRule="auto"/>
        <w:rPr>
          <w:sz w:val="20"/>
          <w:szCs w:val="20"/>
        </w:rPr>
      </w:pPr>
    </w:p>
    <w:p w14:paraId="1A1D6DE5" w14:textId="77777777" w:rsidR="00A51F29" w:rsidRPr="00073AC1" w:rsidRDefault="00A51F29" w:rsidP="00073AC1">
      <w:pPr>
        <w:spacing w:after="0" w:line="240" w:lineRule="auto"/>
        <w:rPr>
          <w:sz w:val="20"/>
          <w:szCs w:val="20"/>
        </w:rPr>
      </w:pPr>
    </w:p>
    <w:p w14:paraId="69BC55BB" w14:textId="77777777" w:rsidR="00073AC1" w:rsidRPr="00073AC1" w:rsidRDefault="00073AC1" w:rsidP="00073AC1">
      <w:pPr>
        <w:spacing w:after="0" w:line="240" w:lineRule="auto"/>
        <w:rPr>
          <w:sz w:val="18"/>
          <w:szCs w:val="20"/>
        </w:rPr>
      </w:pPr>
    </w:p>
    <w:p w14:paraId="587CD1A8" w14:textId="144D9B48" w:rsidR="00073AC1" w:rsidRPr="00073AC1" w:rsidRDefault="00073AC1" w:rsidP="00073AC1">
      <w:pPr>
        <w:spacing w:after="0" w:line="240" w:lineRule="auto"/>
        <w:rPr>
          <w:sz w:val="18"/>
          <w:szCs w:val="20"/>
        </w:rPr>
      </w:pPr>
    </w:p>
    <w:p w14:paraId="5837E589" w14:textId="77777777" w:rsidR="007C6EF8" w:rsidRDefault="007C6EF8" w:rsidP="00073AC1">
      <w:pPr>
        <w:spacing w:after="0" w:line="240" w:lineRule="auto"/>
        <w:rPr>
          <w:b/>
          <w:sz w:val="24"/>
        </w:rPr>
      </w:pPr>
    </w:p>
    <w:p w14:paraId="5B27A4ED" w14:textId="7D4FFCE2" w:rsidR="00073AC1" w:rsidRPr="00073AC1" w:rsidRDefault="00073AC1" w:rsidP="00073AC1">
      <w:pPr>
        <w:spacing w:after="0" w:line="240" w:lineRule="auto"/>
        <w:rPr>
          <w:b/>
          <w:sz w:val="24"/>
        </w:rPr>
      </w:pPr>
      <w:r w:rsidRPr="00073AC1">
        <w:rPr>
          <w:b/>
          <w:sz w:val="24"/>
        </w:rPr>
        <w:t>Public health learning objectives 2013-14</w:t>
      </w:r>
    </w:p>
    <w:p w14:paraId="19C402DA" w14:textId="77777777" w:rsidR="00073AC1" w:rsidRPr="00073AC1" w:rsidRDefault="00073AC1" w:rsidP="00073AC1">
      <w:pPr>
        <w:spacing w:after="0" w:line="240" w:lineRule="auto"/>
        <w:jc w:val="center"/>
        <w:rPr>
          <w:b/>
          <w:sz w:val="20"/>
        </w:rPr>
      </w:pPr>
    </w:p>
    <w:p w14:paraId="1AEF0A37" w14:textId="77777777" w:rsidR="00073AC1" w:rsidRPr="00073AC1" w:rsidRDefault="00073AC1" w:rsidP="00073AC1">
      <w:pPr>
        <w:keepNext/>
        <w:keepLines/>
        <w:spacing w:after="0" w:line="240" w:lineRule="auto"/>
        <w:outlineLvl w:val="1"/>
        <w:rPr>
          <w:rFonts w:eastAsiaTheme="majorEastAsia" w:cstheme="majorBidi"/>
          <w:b/>
          <w:bCs/>
          <w:sz w:val="20"/>
          <w:szCs w:val="26"/>
        </w:rPr>
      </w:pPr>
      <w:r w:rsidRPr="00073AC1">
        <w:rPr>
          <w:rFonts w:eastAsiaTheme="majorEastAsia" w:cstheme="majorBidi"/>
          <w:b/>
          <w:bCs/>
          <w:sz w:val="20"/>
          <w:szCs w:val="26"/>
        </w:rPr>
        <w:lastRenderedPageBreak/>
        <w:t>Public health practice</w:t>
      </w:r>
    </w:p>
    <w:p w14:paraId="5F67ABF5" w14:textId="77777777" w:rsidR="00073AC1" w:rsidRPr="00073AC1" w:rsidRDefault="00073AC1" w:rsidP="00073AC1">
      <w:pPr>
        <w:spacing w:after="0" w:line="240" w:lineRule="auto"/>
        <w:jc w:val="both"/>
        <w:rPr>
          <w:rFonts w:cs="Arial"/>
          <w:i/>
          <w:color w:val="000000"/>
          <w:sz w:val="20"/>
        </w:rPr>
      </w:pPr>
      <w:r w:rsidRPr="00073AC1">
        <w:rPr>
          <w:rFonts w:cs="Arial"/>
          <w:i/>
          <w:color w:val="000000"/>
          <w:sz w:val="20"/>
        </w:rPr>
        <w:t>By the end of course, you should be able to:</w:t>
      </w:r>
    </w:p>
    <w:p w14:paraId="273CB6E3" w14:textId="77777777" w:rsidR="00073AC1" w:rsidRPr="00073AC1" w:rsidRDefault="00073AC1" w:rsidP="00073AC1">
      <w:pPr>
        <w:pStyle w:val="ListParagraph"/>
        <w:numPr>
          <w:ilvl w:val="0"/>
          <w:numId w:val="2"/>
        </w:numPr>
        <w:spacing w:after="0" w:line="240" w:lineRule="auto"/>
        <w:jc w:val="both"/>
        <w:rPr>
          <w:rFonts w:cs="Arial"/>
          <w:bCs/>
          <w:color w:val="000000"/>
          <w:sz w:val="20"/>
        </w:rPr>
      </w:pPr>
      <w:r w:rsidRPr="00073AC1">
        <w:rPr>
          <w:rFonts w:cs="Arial"/>
          <w:color w:val="000000"/>
          <w:sz w:val="20"/>
        </w:rPr>
        <w:t>Define public health, and outline the scope of public health in the UK (public health practice, occupational health, communicable disease control, environmental health, population screening, and health promotion).</w:t>
      </w:r>
    </w:p>
    <w:p w14:paraId="5F40F6FB" w14:textId="77777777" w:rsidR="00073AC1" w:rsidRPr="00073AC1" w:rsidRDefault="00073AC1" w:rsidP="00073AC1">
      <w:pPr>
        <w:pStyle w:val="ListParagraph"/>
        <w:numPr>
          <w:ilvl w:val="0"/>
          <w:numId w:val="2"/>
        </w:numPr>
        <w:spacing w:after="0" w:line="240" w:lineRule="auto"/>
        <w:jc w:val="both"/>
        <w:rPr>
          <w:rFonts w:cs="Arial"/>
          <w:bCs/>
          <w:color w:val="000000"/>
          <w:sz w:val="20"/>
        </w:rPr>
      </w:pPr>
      <w:r w:rsidRPr="00073AC1">
        <w:rPr>
          <w:rFonts w:cs="Arial"/>
          <w:color w:val="000000"/>
          <w:sz w:val="20"/>
        </w:rPr>
        <w:t xml:space="preserve">Describe where public health specialists work, including health protection and occupational health, at what level, and their career structures and regulation. </w:t>
      </w:r>
    </w:p>
    <w:p w14:paraId="5A4FF730" w14:textId="77777777" w:rsidR="00073AC1" w:rsidRPr="00073AC1" w:rsidRDefault="00073AC1" w:rsidP="00073AC1">
      <w:pPr>
        <w:pStyle w:val="ListParagraph"/>
        <w:numPr>
          <w:ilvl w:val="0"/>
          <w:numId w:val="2"/>
        </w:numPr>
        <w:spacing w:after="0" w:line="240" w:lineRule="auto"/>
        <w:jc w:val="both"/>
        <w:rPr>
          <w:rFonts w:cs="Arial"/>
          <w:bCs/>
          <w:color w:val="000000"/>
          <w:sz w:val="20"/>
        </w:rPr>
      </w:pPr>
      <w:r w:rsidRPr="00073AC1">
        <w:rPr>
          <w:rFonts w:cs="Arial"/>
          <w:bCs/>
          <w:color w:val="000000"/>
          <w:sz w:val="20"/>
        </w:rPr>
        <w:t xml:space="preserve">Define the essential public health responsibilities of all clinicians and </w:t>
      </w:r>
      <w:r w:rsidRPr="00073AC1">
        <w:rPr>
          <w:rFonts w:cs="Arial"/>
          <w:color w:val="000000"/>
          <w:sz w:val="20"/>
        </w:rPr>
        <w:t>in what clinical circumstances you would make contact with a public health agency.</w:t>
      </w:r>
    </w:p>
    <w:p w14:paraId="48CADDE1"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role of hospitals and primary care in the delivery of public health functions and programmes.</w:t>
      </w:r>
    </w:p>
    <w:p w14:paraId="29AEDAB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Demonstrate the ability to record a patient’s history that considers the relevant features of workplace, environment, social and family that may influence risk of disease or prognosis. </w:t>
      </w:r>
    </w:p>
    <w:p w14:paraId="3409F12E" w14:textId="77777777" w:rsidR="00073AC1" w:rsidRPr="00073AC1" w:rsidRDefault="00073AC1" w:rsidP="00073AC1">
      <w:pPr>
        <w:keepNext/>
        <w:keepLines/>
        <w:spacing w:after="0" w:line="240" w:lineRule="auto"/>
        <w:outlineLvl w:val="1"/>
        <w:rPr>
          <w:rFonts w:eastAsiaTheme="majorEastAsia" w:cstheme="majorBidi"/>
          <w:b/>
          <w:bCs/>
          <w:sz w:val="20"/>
          <w:szCs w:val="26"/>
        </w:rPr>
      </w:pPr>
    </w:p>
    <w:p w14:paraId="7C7642DB" w14:textId="77777777" w:rsidR="00073AC1" w:rsidRPr="00073AC1" w:rsidRDefault="00073AC1" w:rsidP="00073AC1">
      <w:pPr>
        <w:keepNext/>
        <w:keepLines/>
        <w:spacing w:after="0" w:line="240" w:lineRule="auto"/>
        <w:outlineLvl w:val="1"/>
        <w:rPr>
          <w:rFonts w:eastAsiaTheme="majorEastAsia" w:cstheme="majorBidi"/>
          <w:b/>
          <w:bCs/>
          <w:sz w:val="20"/>
          <w:szCs w:val="26"/>
        </w:rPr>
      </w:pPr>
      <w:r w:rsidRPr="00073AC1">
        <w:rPr>
          <w:rFonts w:eastAsiaTheme="majorEastAsia" w:cstheme="majorBidi"/>
          <w:b/>
          <w:bCs/>
          <w:sz w:val="20"/>
          <w:szCs w:val="26"/>
        </w:rPr>
        <w:t>Epidemiology and evidence</w:t>
      </w:r>
    </w:p>
    <w:p w14:paraId="5FEFC0E5" w14:textId="77777777" w:rsidR="00073AC1" w:rsidRPr="00073AC1" w:rsidRDefault="00073AC1" w:rsidP="00073AC1">
      <w:pPr>
        <w:spacing w:after="0" w:line="240" w:lineRule="auto"/>
        <w:ind w:left="22"/>
        <w:jc w:val="both"/>
        <w:rPr>
          <w:rFonts w:cs="Arial"/>
          <w:bCs/>
          <w:i/>
          <w:color w:val="000000"/>
          <w:sz w:val="20"/>
        </w:rPr>
      </w:pPr>
      <w:r w:rsidRPr="00073AC1">
        <w:rPr>
          <w:rFonts w:cs="Arial"/>
          <w:i/>
          <w:color w:val="000000"/>
          <w:sz w:val="20"/>
        </w:rPr>
        <w:t>By the end of the course, you should be able to:</w:t>
      </w:r>
    </w:p>
    <w:p w14:paraId="0BC7FC6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principles and purpose of disease surveillance.</w:t>
      </w:r>
    </w:p>
    <w:p w14:paraId="122B4594"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Describe the sources of routine information about population health and illness, how these data systems are maintained, the role of the clinician in their maintenance and their strengths and weaknesses applied to public health issues</w:t>
      </w:r>
    </w:p>
    <w:p w14:paraId="2118F4C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Describe the main features, advantages and limitations of key epidemiological study designs (case-control, cohort, cross-sectional and ecological)</w:t>
      </w:r>
    </w:p>
    <w:p w14:paraId="5573C1CC"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Recognise the dangers of false inference from naïve interpretation of data, and explore alternative explanations for research findings (chance, bias, confounding) </w:t>
      </w:r>
    </w:p>
    <w:p w14:paraId="54DE95D6"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Calculate and interpret measures of disease occurrence (incidence, prevalence, odds) and exposure effect (ratios, risk differences, attributable fractions and number needed to treat /prevent).</w:t>
      </w:r>
    </w:p>
    <w:p w14:paraId="7A270DB4"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Calculate and interpret measures of the accuracy of diagnostic tests (sensitivity, specificity, predictive values) </w:t>
      </w:r>
    </w:p>
    <w:p w14:paraId="47459FDC"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Interpret confidence intervals and p values.</w:t>
      </w:r>
    </w:p>
    <w:p w14:paraId="5512A34C"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Appraise the quality of epidemiological studies in the medical literature to a high standard.</w:t>
      </w:r>
    </w:p>
    <w:p w14:paraId="470F756C"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Interpret and communicate the results of research evidence in clinical practice</w:t>
      </w:r>
    </w:p>
    <w:p w14:paraId="445042BF" w14:textId="47BA3971"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objective criteria to establish causality</w:t>
      </w:r>
    </w:p>
    <w:p w14:paraId="4933F7F5" w14:textId="77777777" w:rsidR="00073AC1" w:rsidRPr="00073AC1" w:rsidRDefault="00073AC1" w:rsidP="00073AC1">
      <w:pPr>
        <w:keepNext/>
        <w:keepLines/>
        <w:spacing w:after="0" w:line="240" w:lineRule="auto"/>
        <w:outlineLvl w:val="1"/>
        <w:rPr>
          <w:rFonts w:eastAsiaTheme="majorEastAsia" w:cstheme="majorBidi"/>
          <w:b/>
          <w:bCs/>
          <w:sz w:val="20"/>
          <w:szCs w:val="26"/>
        </w:rPr>
      </w:pPr>
    </w:p>
    <w:p w14:paraId="561D6C7B" w14:textId="77777777" w:rsidR="00073AC1" w:rsidRPr="00073AC1" w:rsidRDefault="00073AC1" w:rsidP="00073AC1">
      <w:pPr>
        <w:keepNext/>
        <w:keepLines/>
        <w:spacing w:after="0" w:line="240" w:lineRule="auto"/>
        <w:outlineLvl w:val="1"/>
        <w:rPr>
          <w:rFonts w:eastAsiaTheme="majorEastAsia" w:cstheme="majorBidi"/>
          <w:b/>
          <w:bCs/>
          <w:sz w:val="20"/>
          <w:szCs w:val="26"/>
        </w:rPr>
      </w:pPr>
      <w:r w:rsidRPr="00073AC1">
        <w:rPr>
          <w:rFonts w:eastAsiaTheme="majorEastAsia" w:cstheme="majorBidi"/>
          <w:b/>
          <w:bCs/>
          <w:sz w:val="20"/>
          <w:szCs w:val="26"/>
        </w:rPr>
        <w:t>Health promotion and disease prevention</w:t>
      </w:r>
    </w:p>
    <w:p w14:paraId="41D79562" w14:textId="77777777" w:rsidR="00073AC1" w:rsidRPr="00073AC1" w:rsidRDefault="00073AC1" w:rsidP="00073AC1">
      <w:pPr>
        <w:spacing w:after="0" w:line="240" w:lineRule="auto"/>
        <w:ind w:left="22"/>
        <w:jc w:val="both"/>
        <w:rPr>
          <w:rFonts w:cs="Arial"/>
          <w:bCs/>
          <w:i/>
          <w:color w:val="000000"/>
          <w:sz w:val="20"/>
        </w:rPr>
      </w:pPr>
      <w:r w:rsidRPr="00073AC1">
        <w:rPr>
          <w:rFonts w:cs="Arial"/>
          <w:bCs/>
          <w:i/>
          <w:color w:val="000000"/>
          <w:sz w:val="20"/>
        </w:rPr>
        <w:t>By the end of the course, you should be able to:</w:t>
      </w:r>
    </w:p>
    <w:p w14:paraId="068A9D42"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Identify the broader determinants of health (the causes of the causes).</w:t>
      </w:r>
    </w:p>
    <w:p w14:paraId="0EBF997D"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Understand the role of the social determinants in generating health inequities at the global and local levels.</w:t>
      </w:r>
    </w:p>
    <w:p w14:paraId="676FFFD6"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Apply the concepts of the social determinants of health to diseases and their aetiology. </w:t>
      </w:r>
    </w:p>
    <w:p w14:paraId="4EB6B41F"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Consider integrated, inter-</w:t>
      </w:r>
      <w:proofErr w:type="spellStart"/>
      <w:r w:rsidRPr="00073AC1">
        <w:rPr>
          <w:rFonts w:cs="Arial"/>
          <w:color w:val="000000"/>
          <w:sz w:val="20"/>
        </w:rPr>
        <w:t>sectoral</w:t>
      </w:r>
      <w:proofErr w:type="spellEnd"/>
      <w:r w:rsidRPr="00073AC1">
        <w:rPr>
          <w:rFonts w:cs="Arial"/>
          <w:color w:val="000000"/>
          <w:sz w:val="20"/>
        </w:rPr>
        <w:t xml:space="preserve"> and participatory approaches to address the social determinants of health, including the role of doctors.</w:t>
      </w:r>
    </w:p>
    <w:p w14:paraId="5228DB02"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Discuss examples of public health activities that address health inequalities, with reference to topics encountered in the public health course</w:t>
      </w:r>
    </w:p>
    <w:p w14:paraId="0466BC17"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Define the different levels of prevention, and where they are encountered in clinical and public health practice.</w:t>
      </w:r>
    </w:p>
    <w:p w14:paraId="744A6218"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Describe the basic principles and models of health promotion, and apply these concepts to common clinical problems</w:t>
      </w:r>
    </w:p>
    <w:p w14:paraId="64A22535" w14:textId="77A5DACB"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Describe the specialist areas in which practitioners carry out health promotion, and </w:t>
      </w:r>
      <w:r w:rsidR="007C6EF8" w:rsidRPr="00073AC1">
        <w:rPr>
          <w:rFonts w:cs="Arial"/>
          <w:color w:val="000000"/>
          <w:sz w:val="20"/>
        </w:rPr>
        <w:t>outline</w:t>
      </w:r>
      <w:r w:rsidRPr="00073AC1">
        <w:rPr>
          <w:rFonts w:cs="Arial"/>
          <w:color w:val="000000"/>
          <w:sz w:val="20"/>
        </w:rPr>
        <w:t xml:space="preserve"> the doctor’s role in health promotion</w:t>
      </w:r>
    </w:p>
    <w:p w14:paraId="3B7A5113"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evidence for effectiveness and impact of individual and population dietary interventions upon health, and how this evidence is reflected in current policy in the UK</w:t>
      </w:r>
    </w:p>
    <w:p w14:paraId="5E85122E"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principles of population screening</w:t>
      </w:r>
    </w:p>
    <w:p w14:paraId="3217451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Critique the rationale and schedules for current NHS cancer screening services.</w:t>
      </w:r>
    </w:p>
    <w:p w14:paraId="41C2E0D8"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approaches to monitor &amp; evaluate the performance of a screening programme.</w:t>
      </w:r>
    </w:p>
    <w:p w14:paraId="6C38959C"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Explain the relevance of work and the wider environment to health and disease.</w:t>
      </w:r>
    </w:p>
    <w:p w14:paraId="51D06507"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lastRenderedPageBreak/>
        <w:t xml:space="preserve">Outline the role and organisation of health protection in the UK. </w:t>
      </w:r>
    </w:p>
    <w:p w14:paraId="42C091FD"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Explain when and how to notify or report the occurrence of specific infections and diseases, and outline the types of public health response that may result from notification. </w:t>
      </w:r>
    </w:p>
    <w:p w14:paraId="70AD6595"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Identify sources of advice about health protection and occupational health issues and when to contact a regulatory agency about specific workplace or environmental health risks to a patient in clinical practice</w:t>
      </w:r>
    </w:p>
    <w:p w14:paraId="471EFAB1"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Recognise when to contact a regulatory agency about specific workplace or environmental health risks to a patient in clinical practice.</w:t>
      </w:r>
    </w:p>
    <w:p w14:paraId="0A8431FE"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Define and apply the key measures used in infectious disease epidemiology (including incubation period, infectious period, latent period, attack rate, herd immunity threshold, basic reproductive number, epidemic, endemic and pandemic)</w:t>
      </w:r>
    </w:p>
    <w:p w14:paraId="0C7EA103"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underlying determinants and effective opportunities for control of infectious disease transmission and discuss the influence of these upon their epidemiology and control</w:t>
      </w:r>
    </w:p>
    <w:p w14:paraId="70F3AB5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fundamental concepts of communicable disease control</w:t>
      </w:r>
    </w:p>
    <w:p w14:paraId="4F01B5E6"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Describe the steps in the investigation of outbreaks, disease clusters and contamination events, and know the clinician’s role in this</w:t>
      </w:r>
    </w:p>
    <w:p w14:paraId="56420A43" w14:textId="1DC849B9"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key environmental / occupational hazards and the health risks associated with them</w:t>
      </w:r>
    </w:p>
    <w:p w14:paraId="3D4989B0" w14:textId="77777777" w:rsidR="00073AC1" w:rsidRPr="00073AC1" w:rsidRDefault="00073AC1" w:rsidP="00073AC1">
      <w:pPr>
        <w:spacing w:after="0" w:line="240" w:lineRule="auto"/>
        <w:rPr>
          <w:rFonts w:eastAsiaTheme="majorEastAsia" w:cstheme="majorBidi"/>
          <w:b/>
          <w:bCs/>
          <w:sz w:val="20"/>
          <w:szCs w:val="26"/>
        </w:rPr>
      </w:pPr>
    </w:p>
    <w:p w14:paraId="3E90813C" w14:textId="77777777" w:rsidR="00073AC1" w:rsidRPr="00073AC1" w:rsidRDefault="00073AC1" w:rsidP="00073AC1">
      <w:pPr>
        <w:spacing w:after="0" w:line="240" w:lineRule="auto"/>
        <w:rPr>
          <w:rFonts w:eastAsiaTheme="majorEastAsia" w:cstheme="majorBidi"/>
          <w:b/>
          <w:bCs/>
          <w:sz w:val="20"/>
          <w:szCs w:val="26"/>
        </w:rPr>
      </w:pPr>
      <w:r w:rsidRPr="00073AC1">
        <w:rPr>
          <w:rFonts w:eastAsiaTheme="majorEastAsia" w:cstheme="majorBidi"/>
          <w:b/>
          <w:bCs/>
          <w:sz w:val="20"/>
          <w:szCs w:val="26"/>
        </w:rPr>
        <w:t>Health services</w:t>
      </w:r>
    </w:p>
    <w:p w14:paraId="48BAACEB" w14:textId="77777777" w:rsidR="00073AC1" w:rsidRPr="00073AC1" w:rsidRDefault="00073AC1" w:rsidP="00073AC1">
      <w:pPr>
        <w:spacing w:after="0" w:line="240" w:lineRule="auto"/>
        <w:ind w:left="22"/>
        <w:jc w:val="both"/>
        <w:rPr>
          <w:rFonts w:cs="Arial"/>
          <w:i/>
          <w:color w:val="000000"/>
          <w:sz w:val="20"/>
        </w:rPr>
      </w:pPr>
      <w:r w:rsidRPr="00073AC1">
        <w:rPr>
          <w:rFonts w:cs="Arial"/>
          <w:i/>
          <w:color w:val="000000"/>
          <w:sz w:val="20"/>
        </w:rPr>
        <w:t>By the end of the course, you should be able to:</w:t>
      </w:r>
    </w:p>
    <w:p w14:paraId="3C889035"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Define and discuss the concepts of need, demand and supply in relation to population health services.</w:t>
      </w:r>
    </w:p>
    <w:p w14:paraId="5E111D1D"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Design an approach to summarise population health, disease and health determinants from relevant information in assessing community need for health services.</w:t>
      </w:r>
    </w:p>
    <w:p w14:paraId="5196D5E6"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key functions and structures of the health service in England, including primary, secondary and tertiary level care, Clinical Commissioning Groups, NHS Commissioning Board, Public Health England, Health &amp; Wellbeing Boards and the Health &amp; Safety Executive.</w:t>
      </w:r>
    </w:p>
    <w:p w14:paraId="2298B5C5"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Discuss some of the recent changes in the organisation of the NHS and public health in England. </w:t>
      </w:r>
    </w:p>
    <w:p w14:paraId="5781F88B"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Outline the funding of the NHS, consider how decisions on health policy &amp; resource allocation are made at national and local levels, and describe the public health role in this.</w:t>
      </w:r>
    </w:p>
    <w:p w14:paraId="3028CC41"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Define and discuss the concepts of equity, equality, opportunity cost, QALY, DALY.</w:t>
      </w:r>
    </w:p>
    <w:p w14:paraId="2830B8B3"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Compare the main characteristics and measures of key types of economic evaluation: cost-minimisation, cost-effectiveness, cost-utility and cost-benefit.</w:t>
      </w:r>
    </w:p>
    <w:p w14:paraId="702A71C2"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Describe the characteristics of health systems, the principle of access free at the point of delivery, priority setting and approaches to fair provision of services and care</w:t>
      </w:r>
    </w:p>
    <w:p w14:paraId="275B0B4D" w14:textId="77777777" w:rsidR="00073AC1" w:rsidRPr="00073AC1" w:rsidRDefault="00073AC1" w:rsidP="00073AC1">
      <w:pPr>
        <w:pStyle w:val="ListParagraph"/>
        <w:numPr>
          <w:ilvl w:val="0"/>
          <w:numId w:val="2"/>
        </w:numPr>
        <w:spacing w:after="0" w:line="240" w:lineRule="auto"/>
        <w:jc w:val="both"/>
        <w:rPr>
          <w:rFonts w:cs="Arial"/>
          <w:color w:val="000000"/>
          <w:sz w:val="20"/>
        </w:rPr>
      </w:pPr>
      <w:r w:rsidRPr="00073AC1">
        <w:rPr>
          <w:rFonts w:cs="Arial"/>
          <w:color w:val="000000"/>
          <w:sz w:val="20"/>
        </w:rPr>
        <w:t xml:space="preserve">Consider the advantages and disadvantages of different health systems and their methods of funding. </w:t>
      </w:r>
    </w:p>
    <w:p w14:paraId="519ED52A" w14:textId="77777777" w:rsidR="00073AC1" w:rsidRPr="00073AC1" w:rsidRDefault="00073AC1" w:rsidP="00073AC1">
      <w:pPr>
        <w:pStyle w:val="Default"/>
        <w:rPr>
          <w:rFonts w:asciiTheme="minorHAnsi" w:hAnsiTheme="minorHAnsi"/>
        </w:rPr>
      </w:pPr>
    </w:p>
    <w:p w14:paraId="6D1BB0CE" w14:textId="47840E9F" w:rsidR="00073AC1" w:rsidRPr="00073AC1" w:rsidRDefault="00073AC1" w:rsidP="00073AC1">
      <w:pPr>
        <w:pStyle w:val="Default"/>
        <w:rPr>
          <w:rFonts w:asciiTheme="minorHAnsi" w:hAnsiTheme="minorHAnsi"/>
          <w:b/>
          <w:szCs w:val="20"/>
        </w:rPr>
      </w:pPr>
      <w:r w:rsidRPr="00073AC1">
        <w:rPr>
          <w:rFonts w:asciiTheme="minorHAnsi" w:hAnsiTheme="minorHAnsi"/>
          <w:b/>
          <w:szCs w:val="20"/>
        </w:rPr>
        <w:t>Syllabus for statistics in preclinical years 1 &amp; 2,</w:t>
      </w:r>
    </w:p>
    <w:p w14:paraId="790338E0" w14:textId="77777777" w:rsidR="00073AC1" w:rsidRPr="00073AC1" w:rsidRDefault="00073AC1" w:rsidP="00073AC1">
      <w:pPr>
        <w:pStyle w:val="Default"/>
        <w:rPr>
          <w:rFonts w:asciiTheme="minorHAnsi" w:hAnsiTheme="minorHAnsi"/>
          <w:sz w:val="20"/>
          <w:szCs w:val="20"/>
        </w:rPr>
      </w:pPr>
    </w:p>
    <w:p w14:paraId="5A5AD063" w14:textId="0CBE3BA7" w:rsidR="00073AC1" w:rsidRPr="00073AC1" w:rsidRDefault="00073AC1" w:rsidP="00073AC1">
      <w:pPr>
        <w:pStyle w:val="Default"/>
        <w:rPr>
          <w:rFonts w:asciiTheme="minorHAnsi" w:hAnsiTheme="minorHAnsi"/>
          <w:b/>
          <w:sz w:val="20"/>
          <w:szCs w:val="20"/>
        </w:rPr>
      </w:pPr>
      <w:r w:rsidRPr="00073AC1">
        <w:rPr>
          <w:rFonts w:asciiTheme="minorHAnsi" w:hAnsiTheme="minorHAnsi"/>
          <w:b/>
          <w:sz w:val="20"/>
          <w:szCs w:val="20"/>
        </w:rPr>
        <w:t xml:space="preserve">Year 1 </w:t>
      </w:r>
    </w:p>
    <w:p w14:paraId="68F9420D"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Principles of graph and table construction. </w:t>
      </w:r>
    </w:p>
    <w:p w14:paraId="3D67CFA1"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Introduction to sampling theory: population vs. sample, frequency distributions, variables and types of data, bias and variation. </w:t>
      </w:r>
    </w:p>
    <w:p w14:paraId="52952456"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Normal distribution: estimation including mean, standard deviation and normal range, standard error and confidence intervals; inability of the normal distribution to describe all continuous data. </w:t>
      </w:r>
    </w:p>
    <w:p w14:paraId="3E9FD0B5"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Two-sample analyses: hypothesis testing and confidence intervals for unpaired and paired normal data; chi-squared for proportions, link between estimation and hypothesis testing. </w:t>
      </w:r>
    </w:p>
    <w:p w14:paraId="141684F3"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Dichotomous data: binomial distribution, sampling distribution of proportions including large sample approximations, confidence intervals and hypothesis testing. </w:t>
      </w:r>
    </w:p>
    <w:p w14:paraId="3EF725E9"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Relating two variables: parametric and non-parametric measures of correlation. </w:t>
      </w:r>
    </w:p>
    <w:p w14:paraId="5B028978" w14:textId="77777777" w:rsidR="00073AC1" w:rsidRPr="00073AC1" w:rsidRDefault="00073AC1" w:rsidP="00073AC1">
      <w:pPr>
        <w:pStyle w:val="Default"/>
        <w:ind w:left="360"/>
        <w:rPr>
          <w:rFonts w:asciiTheme="minorHAnsi" w:hAnsiTheme="minorHAnsi"/>
          <w:sz w:val="20"/>
          <w:szCs w:val="20"/>
        </w:rPr>
      </w:pPr>
    </w:p>
    <w:p w14:paraId="2A762800" w14:textId="77777777" w:rsidR="00073AC1" w:rsidRPr="00073AC1" w:rsidRDefault="00073AC1" w:rsidP="00073AC1">
      <w:pPr>
        <w:pStyle w:val="Default"/>
        <w:ind w:left="360"/>
        <w:rPr>
          <w:rFonts w:asciiTheme="minorHAnsi" w:hAnsiTheme="minorHAnsi"/>
          <w:b/>
          <w:sz w:val="20"/>
          <w:szCs w:val="20"/>
        </w:rPr>
      </w:pPr>
      <w:r w:rsidRPr="00073AC1">
        <w:rPr>
          <w:rFonts w:asciiTheme="minorHAnsi" w:hAnsiTheme="minorHAnsi"/>
          <w:b/>
          <w:sz w:val="20"/>
          <w:szCs w:val="20"/>
        </w:rPr>
        <w:t xml:space="preserve">Year 2 </w:t>
      </w:r>
    </w:p>
    <w:p w14:paraId="11E93F00"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Overview of clinical and epidemiological research: clinical vs. statistical significance, iterative loop of research, fundamental equation of error. </w:t>
      </w:r>
    </w:p>
    <w:p w14:paraId="3C22A2EA"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Topics preparatory to critical appraisal: types of observational study; intervention studies including randomized and cross-over trials; introduction to meta-analysis. </w:t>
      </w:r>
    </w:p>
    <w:p w14:paraId="17D0C287"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lastRenderedPageBreak/>
        <w:t xml:space="preserve">Graphical methods for clinical and biological data including histograms and scatterplots, survival curves, forest plots etc. </w:t>
      </w:r>
    </w:p>
    <w:p w14:paraId="3EC36E83"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2 x 2 tables: odds ratios and relative risks and their CIs and interpretation </w:t>
      </w:r>
    </w:p>
    <w:p w14:paraId="6A737DA4"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Other situations: lognormal distribution, Poisson distribution, use of t-tables for smaller samples. </w:t>
      </w:r>
    </w:p>
    <w:p w14:paraId="057ABBE8"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sz w:val="20"/>
          <w:szCs w:val="20"/>
        </w:rPr>
        <w:t xml:space="preserve">Nonparametric statistics: summary measures for non-normal data, introduction to nonparametric hypothesis tests. 11 June 2013 preclin_stats_syllabus_4.0.docx </w:t>
      </w:r>
    </w:p>
    <w:p w14:paraId="05F187DA" w14:textId="77777777" w:rsidR="00073AC1" w:rsidRPr="00073AC1" w:rsidRDefault="00073AC1" w:rsidP="00073AC1">
      <w:pPr>
        <w:pStyle w:val="Default"/>
        <w:numPr>
          <w:ilvl w:val="0"/>
          <w:numId w:val="4"/>
        </w:numPr>
        <w:rPr>
          <w:rFonts w:asciiTheme="minorHAnsi" w:hAnsiTheme="minorHAnsi"/>
          <w:sz w:val="20"/>
          <w:szCs w:val="20"/>
        </w:rPr>
      </w:pPr>
      <w:r w:rsidRPr="00073AC1">
        <w:rPr>
          <w:rFonts w:asciiTheme="minorHAnsi" w:hAnsiTheme="minorHAnsi"/>
          <w:color w:val="auto"/>
          <w:sz w:val="20"/>
          <w:szCs w:val="20"/>
        </w:rPr>
        <w:t>Estimation and hypothesis testing in observational studies and trials using normally distributed data, dichotomous data, survival data, linear regression; concepts of adjustment and matching</w:t>
      </w:r>
      <w:r w:rsidRPr="00073AC1">
        <w:rPr>
          <w:rFonts w:asciiTheme="minorHAnsi" w:hAnsiTheme="minorHAnsi"/>
          <w:color w:val="auto"/>
          <w:sz w:val="22"/>
          <w:szCs w:val="23"/>
        </w:rPr>
        <w:t xml:space="preserve"> </w:t>
      </w:r>
      <w:r w:rsidRPr="00073AC1">
        <w:rPr>
          <w:rFonts w:asciiTheme="minorHAnsi" w:hAnsiTheme="minorHAnsi"/>
          <w:color w:val="auto"/>
          <w:sz w:val="23"/>
          <w:szCs w:val="23"/>
        </w:rPr>
        <w:t xml:space="preserve">for covariates. </w:t>
      </w:r>
    </w:p>
    <w:p w14:paraId="70A5EAC1" w14:textId="77777777" w:rsidR="00073AC1" w:rsidRPr="00073AC1" w:rsidRDefault="00073AC1" w:rsidP="000A1729">
      <w:pPr>
        <w:pStyle w:val="Default"/>
        <w:rPr>
          <w:rFonts w:asciiTheme="minorHAnsi" w:hAnsiTheme="minorHAnsi"/>
          <w:sz w:val="20"/>
          <w:szCs w:val="20"/>
        </w:rPr>
      </w:pPr>
    </w:p>
    <w:p w14:paraId="3793747C" w14:textId="0063937A" w:rsidR="00073AC1" w:rsidRPr="00073AC1" w:rsidRDefault="00073AC1" w:rsidP="00073AC1">
      <w:pPr>
        <w:spacing w:after="0"/>
        <w:rPr>
          <w:b/>
        </w:rPr>
      </w:pPr>
      <w:r w:rsidRPr="00073AC1">
        <w:rPr>
          <w:b/>
        </w:rPr>
        <w:t>EBM learning objectives 2013-14</w:t>
      </w:r>
    </w:p>
    <w:p w14:paraId="071D711C" w14:textId="77777777" w:rsidR="000A1729" w:rsidRDefault="000A1729" w:rsidP="00073AC1">
      <w:pPr>
        <w:spacing w:after="0"/>
        <w:rPr>
          <w:b/>
          <w:sz w:val="20"/>
        </w:rPr>
      </w:pPr>
    </w:p>
    <w:p w14:paraId="2ACB067A" w14:textId="0F890516" w:rsidR="00073AC1" w:rsidRPr="000A1729" w:rsidRDefault="00073AC1" w:rsidP="000A1729">
      <w:pPr>
        <w:spacing w:after="0"/>
        <w:rPr>
          <w:b/>
          <w:sz w:val="20"/>
        </w:rPr>
      </w:pPr>
      <w:r w:rsidRPr="007C6EF8">
        <w:rPr>
          <w:b/>
          <w:sz w:val="20"/>
        </w:rPr>
        <w:t xml:space="preserve">EBM thread course </w:t>
      </w:r>
    </w:p>
    <w:p w14:paraId="06F7181A" w14:textId="0BC3238F" w:rsidR="00073AC1" w:rsidRPr="007C6EF8" w:rsidRDefault="00073AC1" w:rsidP="00073AC1">
      <w:pPr>
        <w:keepNext/>
        <w:keepLines/>
        <w:spacing w:after="0"/>
        <w:outlineLvl w:val="1"/>
        <w:rPr>
          <w:rFonts w:cs="Arial"/>
          <w:i/>
          <w:color w:val="000000"/>
          <w:sz w:val="20"/>
          <w:szCs w:val="20"/>
        </w:rPr>
      </w:pPr>
      <w:r w:rsidRPr="007C6EF8">
        <w:rPr>
          <w:rFonts w:cs="Arial"/>
          <w:i/>
          <w:color w:val="000000"/>
          <w:sz w:val="20"/>
          <w:szCs w:val="20"/>
        </w:rPr>
        <w:t>By the end of this module students will be able to:</w:t>
      </w:r>
    </w:p>
    <w:p w14:paraId="506455F1"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 xml:space="preserve">Understand the importance of evidence based practice to healthcare and its limitations </w:t>
      </w:r>
    </w:p>
    <w:p w14:paraId="3441D6BE" w14:textId="5E7B4BE9"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 xml:space="preserve">Identify the different type of clinical question (e.g. treatment, prognosis, </w:t>
      </w:r>
      <w:r w:rsidR="007C6EF8" w:rsidRPr="007C6EF8">
        <w:rPr>
          <w:rFonts w:cs="Arial"/>
          <w:color w:val="000000"/>
          <w:sz w:val="20"/>
          <w:szCs w:val="20"/>
        </w:rPr>
        <w:t>aetiology</w:t>
      </w:r>
      <w:r w:rsidRPr="007C6EF8">
        <w:rPr>
          <w:rFonts w:cs="Arial"/>
          <w:color w:val="000000"/>
          <w:sz w:val="20"/>
          <w:szCs w:val="20"/>
        </w:rPr>
        <w:t>).</w:t>
      </w:r>
    </w:p>
    <w:p w14:paraId="5CD808D8"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Formulate an answerable clinical question</w:t>
      </w:r>
    </w:p>
    <w:p w14:paraId="66D82DCB"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Search for relevant publications quickly and efficiently</w:t>
      </w:r>
    </w:p>
    <w:p w14:paraId="0E61B119"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Describe where and how to look for information to answer different types of clinical questions at the point of care (when answers are needed quickly).</w:t>
      </w:r>
    </w:p>
    <w:p w14:paraId="54D3B238"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Access information sources and use the information in relation to patient care, health promotion, giving advice and information to patients, and research and education</w:t>
      </w:r>
    </w:p>
    <w:p w14:paraId="5868F9A4"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Critically appraise various types of studies relating to treatment, including randomised controlled trials (RCTs), systematic reviews of RCTs, diagnostic studies and systematic reviews of diagnostic studies</w:t>
      </w:r>
    </w:p>
    <w:p w14:paraId="4E3DE69D"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Understand some basic statistical concepts required to interpret studies</w:t>
      </w:r>
    </w:p>
    <w:p w14:paraId="37C4ED4D"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Clinically interpret the results of an RCT, including concepts of RRR vs. ARR, how to determine NNT, p values, confidence intervals, risk/benefit analysis, and balancing NNT and NNH.</w:t>
      </w:r>
    </w:p>
    <w:p w14:paraId="18D07BC4"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Describe and distinguish between statistical and clinical significance</w:t>
      </w:r>
    </w:p>
    <w:p w14:paraId="1128CB0C"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Understand how to communicate evidence to patients, describing how values can introduce appropriate and inappropriate biases into patient-physician communications.</w:t>
      </w:r>
    </w:p>
    <w:p w14:paraId="650251B7"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Gain some insight into ethical issues surrounding evidence-based health care</w:t>
      </w:r>
    </w:p>
    <w:p w14:paraId="2505C8D3"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Describe how EBM, clinical experience and individual patient issues interact.</w:t>
      </w:r>
    </w:p>
    <w:p w14:paraId="69F61D58" w14:textId="57CACA69"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 xml:space="preserve">Integrate evidence into common clinical presentations and decision making </w:t>
      </w:r>
    </w:p>
    <w:p w14:paraId="21D098E1"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Consider translation of evidence into practice.</w:t>
      </w:r>
    </w:p>
    <w:p w14:paraId="5A85B665" w14:textId="77777777" w:rsidR="00073AC1" w:rsidRPr="007C6EF8"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Understand use of clinical prediction rules as an aid to diagnosis</w:t>
      </w:r>
    </w:p>
    <w:p w14:paraId="25908762" w14:textId="3CC8DA18" w:rsidR="00073AC1" w:rsidRPr="000A1729" w:rsidRDefault="00073AC1" w:rsidP="00073AC1">
      <w:pPr>
        <w:pStyle w:val="ListParagraph"/>
        <w:keepNext/>
        <w:keepLines/>
        <w:numPr>
          <w:ilvl w:val="0"/>
          <w:numId w:val="4"/>
        </w:numPr>
        <w:spacing w:after="0" w:line="240" w:lineRule="auto"/>
        <w:contextualSpacing w:val="0"/>
        <w:outlineLvl w:val="1"/>
        <w:rPr>
          <w:rFonts w:cs="Arial"/>
          <w:color w:val="000000"/>
          <w:sz w:val="20"/>
          <w:szCs w:val="20"/>
        </w:rPr>
      </w:pPr>
      <w:r w:rsidRPr="007C6EF8">
        <w:rPr>
          <w:rFonts w:cs="Arial"/>
          <w:color w:val="000000"/>
          <w:sz w:val="20"/>
          <w:szCs w:val="20"/>
        </w:rPr>
        <w:t xml:space="preserve">Determine when and how to use NOCE guidance to aid clinical decision making </w:t>
      </w:r>
    </w:p>
    <w:p w14:paraId="4D58014B" w14:textId="77777777" w:rsidR="00F26DFD" w:rsidRDefault="00F26DFD" w:rsidP="00073AC1">
      <w:pPr>
        <w:spacing w:after="0" w:line="240" w:lineRule="auto"/>
        <w:rPr>
          <w:b/>
          <w:sz w:val="20"/>
          <w:szCs w:val="20"/>
        </w:rPr>
      </w:pPr>
    </w:p>
    <w:p w14:paraId="3BDCBCF9" w14:textId="25E4F2C7" w:rsidR="00F26DFD" w:rsidRPr="000A1729" w:rsidRDefault="00F26DFD" w:rsidP="00F26DFD">
      <w:pPr>
        <w:spacing w:after="0" w:line="240" w:lineRule="auto"/>
        <w:rPr>
          <w:b/>
        </w:rPr>
      </w:pPr>
      <w:r w:rsidRPr="00464962">
        <w:rPr>
          <w:b/>
        </w:rPr>
        <w:t>Evidence Based Medicine Thread Graduate Entry Medicine</w:t>
      </w:r>
      <w:r>
        <w:rPr>
          <w:b/>
        </w:rPr>
        <w:t xml:space="preserve"> Course contents 2013-2014</w:t>
      </w:r>
    </w:p>
    <w:p w14:paraId="5771C0E0" w14:textId="77777777"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Introduction to course: how to form a question</w:t>
      </w:r>
      <w:r w:rsidRPr="00F26DFD">
        <w:rPr>
          <w:sz w:val="20"/>
          <w:szCs w:val="20"/>
        </w:rPr>
        <w:tab/>
      </w:r>
    </w:p>
    <w:p w14:paraId="651FE07A" w14:textId="6A464C2B"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Searching for answers</w:t>
      </w:r>
      <w:r w:rsidRPr="00F26DFD">
        <w:rPr>
          <w:sz w:val="20"/>
          <w:szCs w:val="20"/>
        </w:rPr>
        <w:tab/>
      </w:r>
    </w:p>
    <w:p w14:paraId="27C037EC" w14:textId="3CEB4395"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Study Designs</w:t>
      </w:r>
      <w:r w:rsidRPr="00F26DFD">
        <w:rPr>
          <w:sz w:val="20"/>
          <w:szCs w:val="20"/>
        </w:rPr>
        <w:tab/>
      </w:r>
    </w:p>
    <w:p w14:paraId="142E302E" w14:textId="7A4209EA"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Understanding systematic reviews</w:t>
      </w:r>
      <w:r w:rsidRPr="00F26DFD">
        <w:rPr>
          <w:sz w:val="20"/>
          <w:szCs w:val="20"/>
        </w:rPr>
        <w:tab/>
      </w:r>
    </w:p>
    <w:p w14:paraId="1B508CCB" w14:textId="18C936A5"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Understanding randomised controlled trials</w:t>
      </w:r>
      <w:r w:rsidRPr="00F26DFD">
        <w:rPr>
          <w:sz w:val="20"/>
          <w:szCs w:val="20"/>
        </w:rPr>
        <w:tab/>
      </w:r>
    </w:p>
    <w:p w14:paraId="4029D1E7" w14:textId="7D9DC8A2"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Statistics 1</w:t>
      </w:r>
      <w:r w:rsidRPr="00F26DFD">
        <w:rPr>
          <w:sz w:val="20"/>
          <w:szCs w:val="20"/>
        </w:rPr>
        <w:tab/>
        <w:t xml:space="preserve"> </w:t>
      </w:r>
    </w:p>
    <w:p w14:paraId="1F665E2A" w14:textId="2926DAAD"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Statistics 2</w:t>
      </w:r>
      <w:r w:rsidRPr="00F26DFD">
        <w:rPr>
          <w:sz w:val="20"/>
          <w:szCs w:val="20"/>
        </w:rPr>
        <w:tab/>
      </w:r>
    </w:p>
    <w:p w14:paraId="35374388" w14:textId="2C6E099D"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 xml:space="preserve">Understanding a diagnostic study </w:t>
      </w:r>
      <w:r w:rsidRPr="00F26DFD">
        <w:rPr>
          <w:sz w:val="20"/>
          <w:szCs w:val="20"/>
        </w:rPr>
        <w:tab/>
      </w:r>
    </w:p>
    <w:p w14:paraId="24267CD1" w14:textId="147396F7"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Understanding a data interpretation study</w:t>
      </w:r>
      <w:r w:rsidRPr="00F26DFD">
        <w:rPr>
          <w:sz w:val="20"/>
          <w:szCs w:val="20"/>
        </w:rPr>
        <w:tab/>
      </w:r>
    </w:p>
    <w:p w14:paraId="738F318B" w14:textId="2F7BD982"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Evidence based science</w:t>
      </w:r>
      <w:r w:rsidRPr="00F26DFD">
        <w:rPr>
          <w:sz w:val="20"/>
          <w:szCs w:val="20"/>
        </w:rPr>
        <w:tab/>
      </w:r>
    </w:p>
    <w:p w14:paraId="576C969C" w14:textId="6A7A3D57"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Understanding a prognostic study</w:t>
      </w:r>
      <w:r w:rsidRPr="00F26DFD">
        <w:rPr>
          <w:sz w:val="20"/>
          <w:szCs w:val="20"/>
        </w:rPr>
        <w:tab/>
      </w:r>
    </w:p>
    <w:p w14:paraId="7BDAB4E9" w14:textId="10FF0300"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Evidence into practice</w:t>
      </w:r>
      <w:r w:rsidRPr="00F26DFD">
        <w:rPr>
          <w:sz w:val="20"/>
          <w:szCs w:val="20"/>
        </w:rPr>
        <w:tab/>
      </w:r>
    </w:p>
    <w:p w14:paraId="105B5179" w14:textId="344587DF"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Mock exam: critical appraisal</w:t>
      </w:r>
      <w:r w:rsidRPr="00F26DFD">
        <w:rPr>
          <w:sz w:val="20"/>
          <w:szCs w:val="20"/>
        </w:rPr>
        <w:tab/>
      </w:r>
    </w:p>
    <w:p w14:paraId="1A5147FB" w14:textId="3DE8E009" w:rsidR="00F26DFD" w:rsidRPr="00F26DFD" w:rsidRDefault="00F26DFD" w:rsidP="00F26DFD">
      <w:pPr>
        <w:pStyle w:val="ListParagraph"/>
        <w:numPr>
          <w:ilvl w:val="0"/>
          <w:numId w:val="11"/>
        </w:numPr>
        <w:tabs>
          <w:tab w:val="left" w:pos="1313"/>
          <w:tab w:val="left" w:pos="2071"/>
          <w:tab w:val="left" w:pos="3159"/>
          <w:tab w:val="left" w:pos="6901"/>
        </w:tabs>
        <w:spacing w:after="0" w:line="240" w:lineRule="auto"/>
        <w:ind w:left="714" w:hanging="357"/>
        <w:rPr>
          <w:sz w:val="20"/>
          <w:szCs w:val="20"/>
        </w:rPr>
      </w:pPr>
      <w:r w:rsidRPr="00F26DFD">
        <w:rPr>
          <w:sz w:val="20"/>
          <w:szCs w:val="20"/>
        </w:rPr>
        <w:t>Statistics refresher</w:t>
      </w:r>
      <w:r w:rsidRPr="00F26DFD">
        <w:rPr>
          <w:sz w:val="20"/>
          <w:szCs w:val="20"/>
        </w:rPr>
        <w:tab/>
      </w:r>
    </w:p>
    <w:p w14:paraId="3B43246D" w14:textId="29E794D5" w:rsidR="00F26DFD" w:rsidRPr="00F26DFD" w:rsidRDefault="00F26DFD" w:rsidP="00F26DFD">
      <w:pPr>
        <w:pStyle w:val="ListParagraph"/>
        <w:numPr>
          <w:ilvl w:val="0"/>
          <w:numId w:val="11"/>
        </w:numPr>
        <w:tabs>
          <w:tab w:val="left" w:pos="1313"/>
          <w:tab w:val="left" w:pos="2071"/>
          <w:tab w:val="left" w:pos="3159"/>
          <w:tab w:val="left" w:pos="6901"/>
        </w:tabs>
        <w:spacing w:after="0" w:line="360" w:lineRule="auto"/>
        <w:ind w:left="714" w:hanging="357"/>
        <w:rPr>
          <w:sz w:val="20"/>
          <w:szCs w:val="20"/>
        </w:rPr>
      </w:pPr>
      <w:r w:rsidRPr="00F26DFD">
        <w:rPr>
          <w:sz w:val="20"/>
          <w:szCs w:val="20"/>
        </w:rPr>
        <w:t>Mock exam: data interpretation</w:t>
      </w:r>
      <w:r w:rsidRPr="00F26DFD">
        <w:rPr>
          <w:sz w:val="20"/>
          <w:szCs w:val="20"/>
        </w:rPr>
        <w:tab/>
      </w:r>
    </w:p>
    <w:p w14:paraId="445F5569" w14:textId="77777777" w:rsidR="00F26DFD" w:rsidRDefault="00F26DFD" w:rsidP="00073AC1">
      <w:pPr>
        <w:spacing w:after="0" w:line="240" w:lineRule="auto"/>
        <w:rPr>
          <w:b/>
          <w:sz w:val="20"/>
          <w:szCs w:val="20"/>
        </w:rPr>
      </w:pPr>
    </w:p>
    <w:p w14:paraId="5B844D7D" w14:textId="5819A11A" w:rsidR="00073AC1" w:rsidRPr="00073AC1" w:rsidRDefault="00073AC1" w:rsidP="00073AC1">
      <w:pPr>
        <w:spacing w:after="0" w:line="240" w:lineRule="auto"/>
        <w:rPr>
          <w:rFonts w:ascii="Calibri" w:eastAsia="Times New Roman" w:hAnsi="Calibri" w:cs="Times New Roman"/>
          <w:color w:val="000000"/>
          <w:sz w:val="20"/>
          <w:szCs w:val="20"/>
          <w:lang w:val="en-US"/>
        </w:rPr>
      </w:pPr>
      <w:r w:rsidRPr="00073AC1">
        <w:rPr>
          <w:rFonts w:ascii="Calibri" w:eastAsia="Times New Roman" w:hAnsi="Calibri" w:cs="Times New Roman"/>
          <w:color w:val="000000"/>
          <w:sz w:val="20"/>
          <w:szCs w:val="20"/>
          <w:lang w:val="en-US"/>
        </w:rPr>
        <w:t xml:space="preserve"> </w:t>
      </w:r>
    </w:p>
    <w:sectPr w:rsidR="00073AC1" w:rsidRPr="00073AC1" w:rsidSect="00073AC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7FA3" w14:textId="77777777" w:rsidR="005D0C54" w:rsidRDefault="005D0C54" w:rsidP="007C6EF8">
      <w:pPr>
        <w:spacing w:after="0" w:line="240" w:lineRule="auto"/>
      </w:pPr>
      <w:r>
        <w:separator/>
      </w:r>
    </w:p>
  </w:endnote>
  <w:endnote w:type="continuationSeparator" w:id="0">
    <w:p w14:paraId="42AB13BA" w14:textId="77777777" w:rsidR="005D0C54" w:rsidRDefault="005D0C54" w:rsidP="007C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8BB2" w14:textId="77777777" w:rsidR="007C6EF8" w:rsidRDefault="007C6EF8" w:rsidP="005B7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20952" w14:textId="77777777" w:rsidR="007C6EF8" w:rsidRDefault="007C6EF8" w:rsidP="007C6E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1787" w14:textId="77777777" w:rsidR="007C6EF8" w:rsidRDefault="007C6EF8" w:rsidP="005B7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729">
      <w:rPr>
        <w:rStyle w:val="PageNumber"/>
        <w:noProof/>
      </w:rPr>
      <w:t>6</w:t>
    </w:r>
    <w:r>
      <w:rPr>
        <w:rStyle w:val="PageNumber"/>
      </w:rPr>
      <w:fldChar w:fldCharType="end"/>
    </w:r>
  </w:p>
  <w:p w14:paraId="2D5D04FD" w14:textId="77777777" w:rsidR="007C6EF8" w:rsidRDefault="007C6EF8" w:rsidP="007C6E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4BC4" w14:textId="77777777" w:rsidR="005D0C54" w:rsidRDefault="005D0C54" w:rsidP="007C6EF8">
      <w:pPr>
        <w:spacing w:after="0" w:line="240" w:lineRule="auto"/>
      </w:pPr>
      <w:r>
        <w:separator/>
      </w:r>
    </w:p>
  </w:footnote>
  <w:footnote w:type="continuationSeparator" w:id="0">
    <w:p w14:paraId="356CE0F8" w14:textId="77777777" w:rsidR="005D0C54" w:rsidRDefault="005D0C54" w:rsidP="007C6E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71"/>
    <w:multiLevelType w:val="hybridMultilevel"/>
    <w:tmpl w:val="5BB47766"/>
    <w:lvl w:ilvl="0" w:tplc="FFFFFFFF">
      <w:start w:val="1"/>
      <w:numFmt w:val="decimal"/>
      <w:lvlText w:val="%1."/>
      <w:lvlJc w:val="left"/>
      <w:pPr>
        <w:tabs>
          <w:tab w:val="num" w:pos="2520"/>
        </w:tabs>
        <w:ind w:left="2520" w:hanging="108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4891A30"/>
    <w:multiLevelType w:val="hybridMultilevel"/>
    <w:tmpl w:val="EE34C982"/>
    <w:lvl w:ilvl="0" w:tplc="FFFFFFFF">
      <w:start w:val="1"/>
      <w:numFmt w:val="upperRoman"/>
      <w:lvlText w:val="%1."/>
      <w:lvlJc w:val="left"/>
      <w:pPr>
        <w:tabs>
          <w:tab w:val="num" w:pos="360"/>
        </w:tabs>
        <w:ind w:left="360" w:hanging="720"/>
      </w:pPr>
      <w:rPr>
        <w:rFonts w:hint="default"/>
      </w:rPr>
    </w:lvl>
    <w:lvl w:ilvl="1" w:tplc="FFFFFFFF">
      <w:start w:val="1"/>
      <w:numFmt w:val="upperLetter"/>
      <w:lvlText w:val="%2."/>
      <w:lvlJc w:val="left"/>
      <w:pPr>
        <w:tabs>
          <w:tab w:val="num" w:pos="720"/>
        </w:tabs>
        <w:ind w:left="720" w:hanging="360"/>
      </w:pPr>
      <w:rPr>
        <w:rFonts w:hint="default"/>
      </w:rPr>
    </w:lvl>
    <w:lvl w:ilvl="2" w:tplc="04090001">
      <w:start w:val="1"/>
      <w:numFmt w:val="bullet"/>
      <w:lvlText w:val=""/>
      <w:lvlJc w:val="left"/>
      <w:pPr>
        <w:tabs>
          <w:tab w:val="num" w:pos="1620"/>
        </w:tabs>
        <w:ind w:left="162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0B835852"/>
    <w:multiLevelType w:val="hybridMultilevel"/>
    <w:tmpl w:val="4E4C1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65AFB"/>
    <w:multiLevelType w:val="hybridMultilevel"/>
    <w:tmpl w:val="26A849BE"/>
    <w:lvl w:ilvl="0" w:tplc="FFFFFFFF">
      <w:start w:val="1"/>
      <w:numFmt w:val="decimal"/>
      <w:lvlText w:val="%1."/>
      <w:lvlJc w:val="left"/>
      <w:pPr>
        <w:tabs>
          <w:tab w:val="num" w:pos="1980"/>
        </w:tabs>
        <w:ind w:left="19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E57C2"/>
    <w:multiLevelType w:val="hybridMultilevel"/>
    <w:tmpl w:val="CAB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A4866"/>
    <w:multiLevelType w:val="hybridMultilevel"/>
    <w:tmpl w:val="8C84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23E4F"/>
    <w:multiLevelType w:val="hybridMultilevel"/>
    <w:tmpl w:val="EE34C982"/>
    <w:lvl w:ilvl="0" w:tplc="FFFFFFFF">
      <w:start w:val="1"/>
      <w:numFmt w:val="upperRoman"/>
      <w:pStyle w:val="Heading7"/>
      <w:lvlText w:val="%1."/>
      <w:lvlJc w:val="left"/>
      <w:pPr>
        <w:tabs>
          <w:tab w:val="num" w:pos="360"/>
        </w:tabs>
        <w:ind w:left="360" w:hanging="720"/>
      </w:pPr>
      <w:rPr>
        <w:rFonts w:hint="default"/>
      </w:rPr>
    </w:lvl>
    <w:lvl w:ilvl="1" w:tplc="FFFFFFFF">
      <w:start w:val="1"/>
      <w:numFmt w:val="upperLetter"/>
      <w:pStyle w:val="Heading8"/>
      <w:lvlText w:val="%2."/>
      <w:lvlJc w:val="left"/>
      <w:pPr>
        <w:tabs>
          <w:tab w:val="num" w:pos="720"/>
        </w:tabs>
        <w:ind w:left="720" w:hanging="360"/>
      </w:pPr>
      <w:rPr>
        <w:rFonts w:hint="default"/>
      </w:rPr>
    </w:lvl>
    <w:lvl w:ilvl="2" w:tplc="FFFFFFFF">
      <w:start w:val="1"/>
      <w:numFmt w:val="decimal"/>
      <w:lvlText w:val="%3."/>
      <w:lvlJc w:val="left"/>
      <w:pPr>
        <w:tabs>
          <w:tab w:val="num" w:pos="1980"/>
        </w:tabs>
        <w:ind w:left="1980" w:hanging="72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nsid w:val="5C7113FC"/>
    <w:multiLevelType w:val="hybridMultilevel"/>
    <w:tmpl w:val="B1407B9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D333FF9"/>
    <w:multiLevelType w:val="hybridMultilevel"/>
    <w:tmpl w:val="008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F2C86"/>
    <w:multiLevelType w:val="hybridMultilevel"/>
    <w:tmpl w:val="A5F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8861CD"/>
    <w:multiLevelType w:val="hybridMultilevel"/>
    <w:tmpl w:val="A68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6"/>
  </w:num>
  <w:num w:numId="6">
    <w:abstractNumId w:val="0"/>
  </w:num>
  <w:num w:numId="7">
    <w:abstractNumId w:val="1"/>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0A"/>
    <w:rsid w:val="00073AC1"/>
    <w:rsid w:val="000816E5"/>
    <w:rsid w:val="000A1729"/>
    <w:rsid w:val="001D4145"/>
    <w:rsid w:val="002844E0"/>
    <w:rsid w:val="002D3FDE"/>
    <w:rsid w:val="004549BB"/>
    <w:rsid w:val="004F1DDE"/>
    <w:rsid w:val="005C6B04"/>
    <w:rsid w:val="005D0C54"/>
    <w:rsid w:val="00676506"/>
    <w:rsid w:val="007C6EF8"/>
    <w:rsid w:val="00A51F29"/>
    <w:rsid w:val="00A5558F"/>
    <w:rsid w:val="00C746A6"/>
    <w:rsid w:val="00C97FFA"/>
    <w:rsid w:val="00CE5269"/>
    <w:rsid w:val="00D47F1F"/>
    <w:rsid w:val="00D56812"/>
    <w:rsid w:val="00E90EDA"/>
    <w:rsid w:val="00F26DFD"/>
    <w:rsid w:val="00F54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C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73AC1"/>
    <w:pPr>
      <w:keepNext/>
      <w:numPr>
        <w:numId w:val="5"/>
      </w:numPr>
      <w:spacing w:after="0" w:line="240" w:lineRule="auto"/>
      <w:outlineLvl w:val="6"/>
    </w:pPr>
    <w:rPr>
      <w:rFonts w:ascii="Courier New" w:eastAsia="Times New Roman" w:hAnsi="Courier New" w:cs="Times New Roman"/>
      <w:b/>
      <w:snapToGrid w:val="0"/>
      <w:sz w:val="20"/>
      <w:szCs w:val="20"/>
      <w:u w:val="single"/>
      <w:lang w:val="en-US"/>
    </w:rPr>
  </w:style>
  <w:style w:type="paragraph" w:styleId="Heading8">
    <w:name w:val="heading 8"/>
    <w:basedOn w:val="Normal"/>
    <w:next w:val="Normal"/>
    <w:link w:val="Heading8Char"/>
    <w:qFormat/>
    <w:rsid w:val="00073AC1"/>
    <w:pPr>
      <w:keepNext/>
      <w:numPr>
        <w:ilvl w:val="1"/>
        <w:numId w:val="5"/>
      </w:numPr>
      <w:spacing w:after="0" w:line="240" w:lineRule="auto"/>
      <w:outlineLvl w:val="7"/>
    </w:pPr>
    <w:rPr>
      <w:rFonts w:ascii="Courier New" w:eastAsia="Times New Roman" w:hAnsi="Courier New" w:cs="Times New Roman"/>
      <w:b/>
      <w:snapToGrid w:val="0"/>
      <w:sz w:val="20"/>
      <w:szCs w:val="20"/>
      <w:lang w:val="en-US"/>
    </w:rPr>
  </w:style>
  <w:style w:type="paragraph" w:styleId="Heading9">
    <w:name w:val="heading 9"/>
    <w:basedOn w:val="Normal"/>
    <w:next w:val="Normal"/>
    <w:link w:val="Heading9Char"/>
    <w:qFormat/>
    <w:rsid w:val="00073AC1"/>
    <w:pPr>
      <w:keepNext/>
      <w:spacing w:after="0" w:line="240" w:lineRule="auto"/>
      <w:ind w:left="360" w:firstLine="360"/>
      <w:outlineLvl w:val="8"/>
    </w:pPr>
    <w:rPr>
      <w:rFonts w:ascii="Courier New" w:eastAsia="Times New Roman" w:hAnsi="Courier New" w:cs="Times New Roman"/>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4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1F29"/>
    <w:pPr>
      <w:ind w:left="720"/>
      <w:contextualSpacing/>
    </w:pPr>
  </w:style>
  <w:style w:type="paragraph" w:customStyle="1" w:styleId="hbbody">
    <w:name w:val="*hb body"/>
    <w:basedOn w:val="Normal"/>
    <w:link w:val="hbbodyChar"/>
    <w:qFormat/>
    <w:rsid w:val="00073AC1"/>
    <w:pPr>
      <w:autoSpaceDE w:val="0"/>
      <w:autoSpaceDN w:val="0"/>
      <w:adjustRightInd w:val="0"/>
      <w:spacing w:after="0" w:line="240" w:lineRule="auto"/>
      <w:jc w:val="both"/>
    </w:pPr>
    <w:rPr>
      <w:rFonts w:ascii="Century Gothic" w:eastAsia="Times New Roman" w:hAnsi="Century Gothic" w:cs="Arial"/>
      <w:color w:val="000000"/>
      <w:sz w:val="20"/>
      <w:szCs w:val="20"/>
    </w:rPr>
  </w:style>
  <w:style w:type="character" w:customStyle="1" w:styleId="hbbodyChar">
    <w:name w:val="*hb body Char"/>
    <w:link w:val="hbbody"/>
    <w:rsid w:val="00073AC1"/>
    <w:rPr>
      <w:rFonts w:ascii="Century Gothic" w:eastAsia="Times New Roman" w:hAnsi="Century Gothic" w:cs="Arial"/>
      <w:color w:val="000000"/>
      <w:sz w:val="20"/>
      <w:szCs w:val="20"/>
    </w:rPr>
  </w:style>
  <w:style w:type="paragraph" w:customStyle="1" w:styleId="Default">
    <w:name w:val="Default"/>
    <w:rsid w:val="00073AC1"/>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7Char">
    <w:name w:val="Heading 7 Char"/>
    <w:basedOn w:val="DefaultParagraphFont"/>
    <w:link w:val="Heading7"/>
    <w:rsid w:val="00073AC1"/>
    <w:rPr>
      <w:rFonts w:ascii="Courier New" w:eastAsia="Times New Roman" w:hAnsi="Courier New" w:cs="Times New Roman"/>
      <w:b/>
      <w:snapToGrid w:val="0"/>
      <w:sz w:val="20"/>
      <w:szCs w:val="20"/>
      <w:u w:val="single"/>
      <w:lang w:val="en-US"/>
    </w:rPr>
  </w:style>
  <w:style w:type="character" w:customStyle="1" w:styleId="Heading8Char">
    <w:name w:val="Heading 8 Char"/>
    <w:basedOn w:val="DefaultParagraphFont"/>
    <w:link w:val="Heading8"/>
    <w:rsid w:val="00073AC1"/>
    <w:rPr>
      <w:rFonts w:ascii="Courier New" w:eastAsia="Times New Roman" w:hAnsi="Courier New" w:cs="Times New Roman"/>
      <w:b/>
      <w:snapToGrid w:val="0"/>
      <w:sz w:val="20"/>
      <w:szCs w:val="20"/>
      <w:lang w:val="en-US"/>
    </w:rPr>
  </w:style>
  <w:style w:type="character" w:customStyle="1" w:styleId="Heading9Char">
    <w:name w:val="Heading 9 Char"/>
    <w:basedOn w:val="DefaultParagraphFont"/>
    <w:link w:val="Heading9"/>
    <w:rsid w:val="00073AC1"/>
    <w:rPr>
      <w:rFonts w:ascii="Courier New" w:eastAsia="Times New Roman" w:hAnsi="Courier New" w:cs="Times New Roman"/>
      <w:b/>
      <w:snapToGrid w:val="0"/>
      <w:sz w:val="20"/>
      <w:szCs w:val="20"/>
      <w:lang w:val="en-US"/>
    </w:rPr>
  </w:style>
  <w:style w:type="paragraph" w:styleId="BodyText">
    <w:name w:val="Body Text"/>
    <w:basedOn w:val="Normal"/>
    <w:link w:val="BodyTextChar"/>
    <w:rsid w:val="00073AC1"/>
    <w:pPr>
      <w:spacing w:after="0" w:line="240" w:lineRule="auto"/>
    </w:pPr>
    <w:rPr>
      <w:rFonts w:ascii="Times New Roman" w:eastAsia="Times New Roman" w:hAnsi="Times New Roman" w:cs="Times New Roman"/>
      <w:sz w:val="20"/>
      <w:szCs w:val="20"/>
      <w:u w:val="single"/>
      <w:lang w:val="en-US"/>
    </w:rPr>
  </w:style>
  <w:style w:type="character" w:customStyle="1" w:styleId="BodyTextChar">
    <w:name w:val="Body Text Char"/>
    <w:basedOn w:val="DefaultParagraphFont"/>
    <w:link w:val="BodyText"/>
    <w:rsid w:val="00073AC1"/>
    <w:rPr>
      <w:rFonts w:ascii="Times New Roman" w:eastAsia="Times New Roman" w:hAnsi="Times New Roman" w:cs="Times New Roman"/>
      <w:sz w:val="20"/>
      <w:szCs w:val="20"/>
      <w:u w:val="single"/>
      <w:lang w:val="en-US"/>
    </w:rPr>
  </w:style>
  <w:style w:type="paragraph" w:styleId="CommentText">
    <w:name w:val="annotation text"/>
    <w:basedOn w:val="Normal"/>
    <w:link w:val="CommentTextChar"/>
    <w:semiHidden/>
    <w:rsid w:val="00073AC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73A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C6E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EF8"/>
  </w:style>
  <w:style w:type="character" w:styleId="PageNumber">
    <w:name w:val="page number"/>
    <w:basedOn w:val="DefaultParagraphFont"/>
    <w:uiPriority w:val="99"/>
    <w:semiHidden/>
    <w:unhideWhenUsed/>
    <w:rsid w:val="007C6EF8"/>
  </w:style>
  <w:style w:type="character" w:styleId="Hyperlink">
    <w:name w:val="Hyperlink"/>
    <w:basedOn w:val="DefaultParagraphFont"/>
    <w:uiPriority w:val="99"/>
    <w:unhideWhenUsed/>
    <w:rsid w:val="00F26D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73AC1"/>
    <w:pPr>
      <w:keepNext/>
      <w:numPr>
        <w:numId w:val="5"/>
      </w:numPr>
      <w:spacing w:after="0" w:line="240" w:lineRule="auto"/>
      <w:outlineLvl w:val="6"/>
    </w:pPr>
    <w:rPr>
      <w:rFonts w:ascii="Courier New" w:eastAsia="Times New Roman" w:hAnsi="Courier New" w:cs="Times New Roman"/>
      <w:b/>
      <w:snapToGrid w:val="0"/>
      <w:sz w:val="20"/>
      <w:szCs w:val="20"/>
      <w:u w:val="single"/>
      <w:lang w:val="en-US"/>
    </w:rPr>
  </w:style>
  <w:style w:type="paragraph" w:styleId="Heading8">
    <w:name w:val="heading 8"/>
    <w:basedOn w:val="Normal"/>
    <w:next w:val="Normal"/>
    <w:link w:val="Heading8Char"/>
    <w:qFormat/>
    <w:rsid w:val="00073AC1"/>
    <w:pPr>
      <w:keepNext/>
      <w:numPr>
        <w:ilvl w:val="1"/>
        <w:numId w:val="5"/>
      </w:numPr>
      <w:spacing w:after="0" w:line="240" w:lineRule="auto"/>
      <w:outlineLvl w:val="7"/>
    </w:pPr>
    <w:rPr>
      <w:rFonts w:ascii="Courier New" w:eastAsia="Times New Roman" w:hAnsi="Courier New" w:cs="Times New Roman"/>
      <w:b/>
      <w:snapToGrid w:val="0"/>
      <w:sz w:val="20"/>
      <w:szCs w:val="20"/>
      <w:lang w:val="en-US"/>
    </w:rPr>
  </w:style>
  <w:style w:type="paragraph" w:styleId="Heading9">
    <w:name w:val="heading 9"/>
    <w:basedOn w:val="Normal"/>
    <w:next w:val="Normal"/>
    <w:link w:val="Heading9Char"/>
    <w:qFormat/>
    <w:rsid w:val="00073AC1"/>
    <w:pPr>
      <w:keepNext/>
      <w:spacing w:after="0" w:line="240" w:lineRule="auto"/>
      <w:ind w:left="360" w:firstLine="360"/>
      <w:outlineLvl w:val="8"/>
    </w:pPr>
    <w:rPr>
      <w:rFonts w:ascii="Courier New" w:eastAsia="Times New Roman" w:hAnsi="Courier New" w:cs="Times New Roman"/>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4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1F29"/>
    <w:pPr>
      <w:ind w:left="720"/>
      <w:contextualSpacing/>
    </w:pPr>
  </w:style>
  <w:style w:type="paragraph" w:customStyle="1" w:styleId="hbbody">
    <w:name w:val="*hb body"/>
    <w:basedOn w:val="Normal"/>
    <w:link w:val="hbbodyChar"/>
    <w:qFormat/>
    <w:rsid w:val="00073AC1"/>
    <w:pPr>
      <w:autoSpaceDE w:val="0"/>
      <w:autoSpaceDN w:val="0"/>
      <w:adjustRightInd w:val="0"/>
      <w:spacing w:after="0" w:line="240" w:lineRule="auto"/>
      <w:jc w:val="both"/>
    </w:pPr>
    <w:rPr>
      <w:rFonts w:ascii="Century Gothic" w:eastAsia="Times New Roman" w:hAnsi="Century Gothic" w:cs="Arial"/>
      <w:color w:val="000000"/>
      <w:sz w:val="20"/>
      <w:szCs w:val="20"/>
    </w:rPr>
  </w:style>
  <w:style w:type="character" w:customStyle="1" w:styleId="hbbodyChar">
    <w:name w:val="*hb body Char"/>
    <w:link w:val="hbbody"/>
    <w:rsid w:val="00073AC1"/>
    <w:rPr>
      <w:rFonts w:ascii="Century Gothic" w:eastAsia="Times New Roman" w:hAnsi="Century Gothic" w:cs="Arial"/>
      <w:color w:val="000000"/>
      <w:sz w:val="20"/>
      <w:szCs w:val="20"/>
    </w:rPr>
  </w:style>
  <w:style w:type="paragraph" w:customStyle="1" w:styleId="Default">
    <w:name w:val="Default"/>
    <w:rsid w:val="00073AC1"/>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7Char">
    <w:name w:val="Heading 7 Char"/>
    <w:basedOn w:val="DefaultParagraphFont"/>
    <w:link w:val="Heading7"/>
    <w:rsid w:val="00073AC1"/>
    <w:rPr>
      <w:rFonts w:ascii="Courier New" w:eastAsia="Times New Roman" w:hAnsi="Courier New" w:cs="Times New Roman"/>
      <w:b/>
      <w:snapToGrid w:val="0"/>
      <w:sz w:val="20"/>
      <w:szCs w:val="20"/>
      <w:u w:val="single"/>
      <w:lang w:val="en-US"/>
    </w:rPr>
  </w:style>
  <w:style w:type="character" w:customStyle="1" w:styleId="Heading8Char">
    <w:name w:val="Heading 8 Char"/>
    <w:basedOn w:val="DefaultParagraphFont"/>
    <w:link w:val="Heading8"/>
    <w:rsid w:val="00073AC1"/>
    <w:rPr>
      <w:rFonts w:ascii="Courier New" w:eastAsia="Times New Roman" w:hAnsi="Courier New" w:cs="Times New Roman"/>
      <w:b/>
      <w:snapToGrid w:val="0"/>
      <w:sz w:val="20"/>
      <w:szCs w:val="20"/>
      <w:lang w:val="en-US"/>
    </w:rPr>
  </w:style>
  <w:style w:type="character" w:customStyle="1" w:styleId="Heading9Char">
    <w:name w:val="Heading 9 Char"/>
    <w:basedOn w:val="DefaultParagraphFont"/>
    <w:link w:val="Heading9"/>
    <w:rsid w:val="00073AC1"/>
    <w:rPr>
      <w:rFonts w:ascii="Courier New" w:eastAsia="Times New Roman" w:hAnsi="Courier New" w:cs="Times New Roman"/>
      <w:b/>
      <w:snapToGrid w:val="0"/>
      <w:sz w:val="20"/>
      <w:szCs w:val="20"/>
      <w:lang w:val="en-US"/>
    </w:rPr>
  </w:style>
  <w:style w:type="paragraph" w:styleId="BodyText">
    <w:name w:val="Body Text"/>
    <w:basedOn w:val="Normal"/>
    <w:link w:val="BodyTextChar"/>
    <w:rsid w:val="00073AC1"/>
    <w:pPr>
      <w:spacing w:after="0" w:line="240" w:lineRule="auto"/>
    </w:pPr>
    <w:rPr>
      <w:rFonts w:ascii="Times New Roman" w:eastAsia="Times New Roman" w:hAnsi="Times New Roman" w:cs="Times New Roman"/>
      <w:sz w:val="20"/>
      <w:szCs w:val="20"/>
      <w:u w:val="single"/>
      <w:lang w:val="en-US"/>
    </w:rPr>
  </w:style>
  <w:style w:type="character" w:customStyle="1" w:styleId="BodyTextChar">
    <w:name w:val="Body Text Char"/>
    <w:basedOn w:val="DefaultParagraphFont"/>
    <w:link w:val="BodyText"/>
    <w:rsid w:val="00073AC1"/>
    <w:rPr>
      <w:rFonts w:ascii="Times New Roman" w:eastAsia="Times New Roman" w:hAnsi="Times New Roman" w:cs="Times New Roman"/>
      <w:sz w:val="20"/>
      <w:szCs w:val="20"/>
      <w:u w:val="single"/>
      <w:lang w:val="en-US"/>
    </w:rPr>
  </w:style>
  <w:style w:type="paragraph" w:styleId="CommentText">
    <w:name w:val="annotation text"/>
    <w:basedOn w:val="Normal"/>
    <w:link w:val="CommentTextChar"/>
    <w:semiHidden/>
    <w:rsid w:val="00073AC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73AC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C6E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EF8"/>
  </w:style>
  <w:style w:type="character" w:styleId="PageNumber">
    <w:name w:val="page number"/>
    <w:basedOn w:val="DefaultParagraphFont"/>
    <w:uiPriority w:val="99"/>
    <w:semiHidden/>
    <w:unhideWhenUsed/>
    <w:rsid w:val="007C6EF8"/>
  </w:style>
  <w:style w:type="character" w:styleId="Hyperlink">
    <w:name w:val="Hyperlink"/>
    <w:basedOn w:val="DefaultParagraphFont"/>
    <w:uiPriority w:val="99"/>
    <w:unhideWhenUsed/>
    <w:rsid w:val="00F26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1704">
      <w:bodyDiv w:val="1"/>
      <w:marLeft w:val="0"/>
      <w:marRight w:val="0"/>
      <w:marTop w:val="0"/>
      <w:marBottom w:val="0"/>
      <w:divBdr>
        <w:top w:val="none" w:sz="0" w:space="0" w:color="auto"/>
        <w:left w:val="none" w:sz="0" w:space="0" w:color="auto"/>
        <w:bottom w:val="none" w:sz="0" w:space="0" w:color="auto"/>
        <w:right w:val="none" w:sz="0" w:space="0" w:color="auto"/>
      </w:divBdr>
      <w:divsChild>
        <w:div w:id="21175888">
          <w:marLeft w:val="0"/>
          <w:marRight w:val="0"/>
          <w:marTop w:val="0"/>
          <w:marBottom w:val="0"/>
          <w:divBdr>
            <w:top w:val="none" w:sz="0" w:space="0" w:color="auto"/>
            <w:left w:val="none" w:sz="0" w:space="0" w:color="auto"/>
            <w:bottom w:val="none" w:sz="0" w:space="0" w:color="auto"/>
            <w:right w:val="none" w:sz="0" w:space="0" w:color="auto"/>
          </w:divBdr>
        </w:div>
        <w:div w:id="2071345624">
          <w:marLeft w:val="0"/>
          <w:marRight w:val="0"/>
          <w:marTop w:val="0"/>
          <w:marBottom w:val="0"/>
          <w:divBdr>
            <w:top w:val="none" w:sz="0" w:space="0" w:color="auto"/>
            <w:left w:val="none" w:sz="0" w:space="0" w:color="auto"/>
            <w:bottom w:val="none" w:sz="0" w:space="0" w:color="auto"/>
            <w:right w:val="none" w:sz="0" w:space="0" w:color="auto"/>
          </w:divBdr>
        </w:div>
        <w:div w:id="901138162">
          <w:marLeft w:val="0"/>
          <w:marRight w:val="0"/>
          <w:marTop w:val="0"/>
          <w:marBottom w:val="0"/>
          <w:divBdr>
            <w:top w:val="none" w:sz="0" w:space="0" w:color="auto"/>
            <w:left w:val="none" w:sz="0" w:space="0" w:color="auto"/>
            <w:bottom w:val="none" w:sz="0" w:space="0" w:color="auto"/>
            <w:right w:val="none" w:sz="0" w:space="0" w:color="auto"/>
          </w:divBdr>
        </w:div>
        <w:div w:id="1388264775">
          <w:marLeft w:val="0"/>
          <w:marRight w:val="0"/>
          <w:marTop w:val="0"/>
          <w:marBottom w:val="0"/>
          <w:divBdr>
            <w:top w:val="none" w:sz="0" w:space="0" w:color="auto"/>
            <w:left w:val="none" w:sz="0" w:space="0" w:color="auto"/>
            <w:bottom w:val="none" w:sz="0" w:space="0" w:color="auto"/>
            <w:right w:val="none" w:sz="0" w:space="0" w:color="auto"/>
          </w:divBdr>
        </w:div>
        <w:div w:id="1795252028">
          <w:marLeft w:val="0"/>
          <w:marRight w:val="0"/>
          <w:marTop w:val="0"/>
          <w:marBottom w:val="0"/>
          <w:divBdr>
            <w:top w:val="none" w:sz="0" w:space="0" w:color="auto"/>
            <w:left w:val="none" w:sz="0" w:space="0" w:color="auto"/>
            <w:bottom w:val="none" w:sz="0" w:space="0" w:color="auto"/>
            <w:right w:val="none" w:sz="0" w:space="0" w:color="auto"/>
          </w:divBdr>
        </w:div>
        <w:div w:id="921718630">
          <w:marLeft w:val="0"/>
          <w:marRight w:val="0"/>
          <w:marTop w:val="0"/>
          <w:marBottom w:val="0"/>
          <w:divBdr>
            <w:top w:val="none" w:sz="0" w:space="0" w:color="auto"/>
            <w:left w:val="none" w:sz="0" w:space="0" w:color="auto"/>
            <w:bottom w:val="none" w:sz="0" w:space="0" w:color="auto"/>
            <w:right w:val="none" w:sz="0" w:space="0" w:color="auto"/>
          </w:divBdr>
        </w:div>
        <w:div w:id="666522784">
          <w:marLeft w:val="0"/>
          <w:marRight w:val="0"/>
          <w:marTop w:val="0"/>
          <w:marBottom w:val="0"/>
          <w:divBdr>
            <w:top w:val="none" w:sz="0" w:space="0" w:color="auto"/>
            <w:left w:val="none" w:sz="0" w:space="0" w:color="auto"/>
            <w:bottom w:val="none" w:sz="0" w:space="0" w:color="auto"/>
            <w:right w:val="none" w:sz="0" w:space="0" w:color="auto"/>
          </w:divBdr>
        </w:div>
        <w:div w:id="511188269">
          <w:marLeft w:val="0"/>
          <w:marRight w:val="0"/>
          <w:marTop w:val="0"/>
          <w:marBottom w:val="0"/>
          <w:divBdr>
            <w:top w:val="none" w:sz="0" w:space="0" w:color="auto"/>
            <w:left w:val="none" w:sz="0" w:space="0" w:color="auto"/>
            <w:bottom w:val="none" w:sz="0" w:space="0" w:color="auto"/>
            <w:right w:val="none" w:sz="0" w:space="0" w:color="auto"/>
          </w:divBdr>
        </w:div>
        <w:div w:id="1602949214">
          <w:marLeft w:val="0"/>
          <w:marRight w:val="0"/>
          <w:marTop w:val="0"/>
          <w:marBottom w:val="0"/>
          <w:divBdr>
            <w:top w:val="none" w:sz="0" w:space="0" w:color="auto"/>
            <w:left w:val="none" w:sz="0" w:space="0" w:color="auto"/>
            <w:bottom w:val="none" w:sz="0" w:space="0" w:color="auto"/>
            <w:right w:val="none" w:sz="0" w:space="0" w:color="auto"/>
          </w:divBdr>
        </w:div>
        <w:div w:id="1668054493">
          <w:marLeft w:val="0"/>
          <w:marRight w:val="0"/>
          <w:marTop w:val="0"/>
          <w:marBottom w:val="0"/>
          <w:divBdr>
            <w:top w:val="none" w:sz="0" w:space="0" w:color="auto"/>
            <w:left w:val="none" w:sz="0" w:space="0" w:color="auto"/>
            <w:bottom w:val="none" w:sz="0" w:space="0" w:color="auto"/>
            <w:right w:val="none" w:sz="0" w:space="0" w:color="auto"/>
          </w:divBdr>
        </w:div>
        <w:div w:id="672345007">
          <w:marLeft w:val="0"/>
          <w:marRight w:val="0"/>
          <w:marTop w:val="0"/>
          <w:marBottom w:val="0"/>
          <w:divBdr>
            <w:top w:val="none" w:sz="0" w:space="0" w:color="auto"/>
            <w:left w:val="none" w:sz="0" w:space="0" w:color="auto"/>
            <w:bottom w:val="none" w:sz="0" w:space="0" w:color="auto"/>
            <w:right w:val="none" w:sz="0" w:space="0" w:color="auto"/>
          </w:divBdr>
        </w:div>
        <w:div w:id="1765149994">
          <w:marLeft w:val="0"/>
          <w:marRight w:val="0"/>
          <w:marTop w:val="0"/>
          <w:marBottom w:val="0"/>
          <w:divBdr>
            <w:top w:val="none" w:sz="0" w:space="0" w:color="auto"/>
            <w:left w:val="none" w:sz="0" w:space="0" w:color="auto"/>
            <w:bottom w:val="none" w:sz="0" w:space="0" w:color="auto"/>
            <w:right w:val="none" w:sz="0" w:space="0" w:color="auto"/>
          </w:divBdr>
        </w:div>
        <w:div w:id="257911340">
          <w:marLeft w:val="0"/>
          <w:marRight w:val="0"/>
          <w:marTop w:val="0"/>
          <w:marBottom w:val="0"/>
          <w:divBdr>
            <w:top w:val="none" w:sz="0" w:space="0" w:color="auto"/>
            <w:left w:val="none" w:sz="0" w:space="0" w:color="auto"/>
            <w:bottom w:val="none" w:sz="0" w:space="0" w:color="auto"/>
            <w:right w:val="none" w:sz="0" w:space="0" w:color="auto"/>
          </w:divBdr>
        </w:div>
        <w:div w:id="810366092">
          <w:marLeft w:val="0"/>
          <w:marRight w:val="0"/>
          <w:marTop w:val="0"/>
          <w:marBottom w:val="0"/>
          <w:divBdr>
            <w:top w:val="none" w:sz="0" w:space="0" w:color="auto"/>
            <w:left w:val="none" w:sz="0" w:space="0" w:color="auto"/>
            <w:bottom w:val="none" w:sz="0" w:space="0" w:color="auto"/>
            <w:right w:val="none" w:sz="0" w:space="0" w:color="auto"/>
          </w:divBdr>
        </w:div>
        <w:div w:id="1708022340">
          <w:marLeft w:val="0"/>
          <w:marRight w:val="0"/>
          <w:marTop w:val="0"/>
          <w:marBottom w:val="0"/>
          <w:divBdr>
            <w:top w:val="none" w:sz="0" w:space="0" w:color="auto"/>
            <w:left w:val="none" w:sz="0" w:space="0" w:color="auto"/>
            <w:bottom w:val="none" w:sz="0" w:space="0" w:color="auto"/>
            <w:right w:val="none" w:sz="0" w:space="0" w:color="auto"/>
          </w:divBdr>
        </w:div>
        <w:div w:id="158008664">
          <w:marLeft w:val="0"/>
          <w:marRight w:val="0"/>
          <w:marTop w:val="0"/>
          <w:marBottom w:val="0"/>
          <w:divBdr>
            <w:top w:val="none" w:sz="0" w:space="0" w:color="auto"/>
            <w:left w:val="none" w:sz="0" w:space="0" w:color="auto"/>
            <w:bottom w:val="none" w:sz="0" w:space="0" w:color="auto"/>
            <w:right w:val="none" w:sz="0" w:space="0" w:color="auto"/>
          </w:divBdr>
        </w:div>
        <w:div w:id="75709759">
          <w:marLeft w:val="0"/>
          <w:marRight w:val="0"/>
          <w:marTop w:val="0"/>
          <w:marBottom w:val="0"/>
          <w:divBdr>
            <w:top w:val="none" w:sz="0" w:space="0" w:color="auto"/>
            <w:left w:val="none" w:sz="0" w:space="0" w:color="auto"/>
            <w:bottom w:val="none" w:sz="0" w:space="0" w:color="auto"/>
            <w:right w:val="none" w:sz="0" w:space="0" w:color="auto"/>
          </w:divBdr>
        </w:div>
        <w:div w:id="701830320">
          <w:marLeft w:val="0"/>
          <w:marRight w:val="0"/>
          <w:marTop w:val="0"/>
          <w:marBottom w:val="0"/>
          <w:divBdr>
            <w:top w:val="none" w:sz="0" w:space="0" w:color="auto"/>
            <w:left w:val="none" w:sz="0" w:space="0" w:color="auto"/>
            <w:bottom w:val="none" w:sz="0" w:space="0" w:color="auto"/>
            <w:right w:val="none" w:sz="0" w:space="0" w:color="auto"/>
          </w:divBdr>
        </w:div>
        <w:div w:id="1144467491">
          <w:marLeft w:val="0"/>
          <w:marRight w:val="0"/>
          <w:marTop w:val="0"/>
          <w:marBottom w:val="0"/>
          <w:divBdr>
            <w:top w:val="none" w:sz="0" w:space="0" w:color="auto"/>
            <w:left w:val="none" w:sz="0" w:space="0" w:color="auto"/>
            <w:bottom w:val="none" w:sz="0" w:space="0" w:color="auto"/>
            <w:right w:val="none" w:sz="0" w:space="0" w:color="auto"/>
          </w:divBdr>
        </w:div>
        <w:div w:id="1093892228">
          <w:marLeft w:val="0"/>
          <w:marRight w:val="0"/>
          <w:marTop w:val="0"/>
          <w:marBottom w:val="0"/>
          <w:divBdr>
            <w:top w:val="none" w:sz="0" w:space="0" w:color="auto"/>
            <w:left w:val="none" w:sz="0" w:space="0" w:color="auto"/>
            <w:bottom w:val="none" w:sz="0" w:space="0" w:color="auto"/>
            <w:right w:val="none" w:sz="0" w:space="0" w:color="auto"/>
          </w:divBdr>
        </w:div>
        <w:div w:id="134107535">
          <w:marLeft w:val="0"/>
          <w:marRight w:val="0"/>
          <w:marTop w:val="0"/>
          <w:marBottom w:val="0"/>
          <w:divBdr>
            <w:top w:val="none" w:sz="0" w:space="0" w:color="auto"/>
            <w:left w:val="none" w:sz="0" w:space="0" w:color="auto"/>
            <w:bottom w:val="none" w:sz="0" w:space="0" w:color="auto"/>
            <w:right w:val="none" w:sz="0" w:space="0" w:color="auto"/>
          </w:divBdr>
        </w:div>
        <w:div w:id="2029912134">
          <w:marLeft w:val="0"/>
          <w:marRight w:val="0"/>
          <w:marTop w:val="0"/>
          <w:marBottom w:val="0"/>
          <w:divBdr>
            <w:top w:val="none" w:sz="0" w:space="0" w:color="auto"/>
            <w:left w:val="none" w:sz="0" w:space="0" w:color="auto"/>
            <w:bottom w:val="none" w:sz="0" w:space="0" w:color="auto"/>
            <w:right w:val="none" w:sz="0" w:space="0" w:color="auto"/>
          </w:divBdr>
        </w:div>
        <w:div w:id="2000385670">
          <w:marLeft w:val="0"/>
          <w:marRight w:val="0"/>
          <w:marTop w:val="0"/>
          <w:marBottom w:val="0"/>
          <w:divBdr>
            <w:top w:val="none" w:sz="0" w:space="0" w:color="auto"/>
            <w:left w:val="none" w:sz="0" w:space="0" w:color="auto"/>
            <w:bottom w:val="none" w:sz="0" w:space="0" w:color="auto"/>
            <w:right w:val="none" w:sz="0" w:space="0" w:color="auto"/>
          </w:divBdr>
        </w:div>
        <w:div w:id="229657694">
          <w:marLeft w:val="0"/>
          <w:marRight w:val="0"/>
          <w:marTop w:val="0"/>
          <w:marBottom w:val="0"/>
          <w:divBdr>
            <w:top w:val="none" w:sz="0" w:space="0" w:color="auto"/>
            <w:left w:val="none" w:sz="0" w:space="0" w:color="auto"/>
            <w:bottom w:val="none" w:sz="0" w:space="0" w:color="auto"/>
            <w:right w:val="none" w:sz="0" w:space="0" w:color="auto"/>
          </w:divBdr>
        </w:div>
        <w:div w:id="1457487168">
          <w:marLeft w:val="0"/>
          <w:marRight w:val="0"/>
          <w:marTop w:val="0"/>
          <w:marBottom w:val="0"/>
          <w:divBdr>
            <w:top w:val="none" w:sz="0" w:space="0" w:color="auto"/>
            <w:left w:val="none" w:sz="0" w:space="0" w:color="auto"/>
            <w:bottom w:val="none" w:sz="0" w:space="0" w:color="auto"/>
            <w:right w:val="none" w:sz="0" w:space="0" w:color="auto"/>
          </w:divBdr>
        </w:div>
        <w:div w:id="683627310">
          <w:marLeft w:val="0"/>
          <w:marRight w:val="0"/>
          <w:marTop w:val="0"/>
          <w:marBottom w:val="0"/>
          <w:divBdr>
            <w:top w:val="none" w:sz="0" w:space="0" w:color="auto"/>
            <w:left w:val="none" w:sz="0" w:space="0" w:color="auto"/>
            <w:bottom w:val="none" w:sz="0" w:space="0" w:color="auto"/>
            <w:right w:val="none" w:sz="0" w:space="0" w:color="auto"/>
          </w:divBdr>
        </w:div>
        <w:div w:id="1042050544">
          <w:marLeft w:val="0"/>
          <w:marRight w:val="0"/>
          <w:marTop w:val="0"/>
          <w:marBottom w:val="0"/>
          <w:divBdr>
            <w:top w:val="none" w:sz="0" w:space="0" w:color="auto"/>
            <w:left w:val="none" w:sz="0" w:space="0" w:color="auto"/>
            <w:bottom w:val="none" w:sz="0" w:space="0" w:color="auto"/>
            <w:right w:val="none" w:sz="0" w:space="0" w:color="auto"/>
          </w:divBdr>
        </w:div>
        <w:div w:id="1054816277">
          <w:marLeft w:val="0"/>
          <w:marRight w:val="0"/>
          <w:marTop w:val="0"/>
          <w:marBottom w:val="0"/>
          <w:divBdr>
            <w:top w:val="none" w:sz="0" w:space="0" w:color="auto"/>
            <w:left w:val="none" w:sz="0" w:space="0" w:color="auto"/>
            <w:bottom w:val="none" w:sz="0" w:space="0" w:color="auto"/>
            <w:right w:val="none" w:sz="0" w:space="0" w:color="auto"/>
          </w:divBdr>
        </w:div>
        <w:div w:id="352849178">
          <w:marLeft w:val="0"/>
          <w:marRight w:val="0"/>
          <w:marTop w:val="0"/>
          <w:marBottom w:val="0"/>
          <w:divBdr>
            <w:top w:val="none" w:sz="0" w:space="0" w:color="auto"/>
            <w:left w:val="none" w:sz="0" w:space="0" w:color="auto"/>
            <w:bottom w:val="none" w:sz="0" w:space="0" w:color="auto"/>
            <w:right w:val="none" w:sz="0" w:space="0" w:color="auto"/>
          </w:divBdr>
        </w:div>
        <w:div w:id="457066120">
          <w:marLeft w:val="0"/>
          <w:marRight w:val="0"/>
          <w:marTop w:val="0"/>
          <w:marBottom w:val="0"/>
          <w:divBdr>
            <w:top w:val="none" w:sz="0" w:space="0" w:color="auto"/>
            <w:left w:val="none" w:sz="0" w:space="0" w:color="auto"/>
            <w:bottom w:val="none" w:sz="0" w:space="0" w:color="auto"/>
            <w:right w:val="none" w:sz="0" w:space="0" w:color="auto"/>
          </w:divBdr>
        </w:div>
        <w:div w:id="1955672974">
          <w:marLeft w:val="0"/>
          <w:marRight w:val="0"/>
          <w:marTop w:val="0"/>
          <w:marBottom w:val="0"/>
          <w:divBdr>
            <w:top w:val="none" w:sz="0" w:space="0" w:color="auto"/>
            <w:left w:val="none" w:sz="0" w:space="0" w:color="auto"/>
            <w:bottom w:val="none" w:sz="0" w:space="0" w:color="auto"/>
            <w:right w:val="none" w:sz="0" w:space="0" w:color="auto"/>
          </w:divBdr>
        </w:div>
        <w:div w:id="1457066154">
          <w:marLeft w:val="0"/>
          <w:marRight w:val="0"/>
          <w:marTop w:val="0"/>
          <w:marBottom w:val="0"/>
          <w:divBdr>
            <w:top w:val="none" w:sz="0" w:space="0" w:color="auto"/>
            <w:left w:val="none" w:sz="0" w:space="0" w:color="auto"/>
            <w:bottom w:val="none" w:sz="0" w:space="0" w:color="auto"/>
            <w:right w:val="none" w:sz="0" w:space="0" w:color="auto"/>
          </w:divBdr>
        </w:div>
        <w:div w:id="1283001975">
          <w:marLeft w:val="0"/>
          <w:marRight w:val="0"/>
          <w:marTop w:val="0"/>
          <w:marBottom w:val="0"/>
          <w:divBdr>
            <w:top w:val="none" w:sz="0" w:space="0" w:color="auto"/>
            <w:left w:val="none" w:sz="0" w:space="0" w:color="auto"/>
            <w:bottom w:val="none" w:sz="0" w:space="0" w:color="auto"/>
            <w:right w:val="none" w:sz="0" w:space="0" w:color="auto"/>
          </w:divBdr>
        </w:div>
        <w:div w:id="46539647">
          <w:marLeft w:val="0"/>
          <w:marRight w:val="0"/>
          <w:marTop w:val="0"/>
          <w:marBottom w:val="0"/>
          <w:divBdr>
            <w:top w:val="none" w:sz="0" w:space="0" w:color="auto"/>
            <w:left w:val="none" w:sz="0" w:space="0" w:color="auto"/>
            <w:bottom w:val="none" w:sz="0" w:space="0" w:color="auto"/>
            <w:right w:val="none" w:sz="0" w:space="0" w:color="auto"/>
          </w:divBdr>
        </w:div>
        <w:div w:id="1193761038">
          <w:marLeft w:val="0"/>
          <w:marRight w:val="0"/>
          <w:marTop w:val="0"/>
          <w:marBottom w:val="0"/>
          <w:divBdr>
            <w:top w:val="none" w:sz="0" w:space="0" w:color="auto"/>
            <w:left w:val="none" w:sz="0" w:space="0" w:color="auto"/>
            <w:bottom w:val="none" w:sz="0" w:space="0" w:color="auto"/>
            <w:right w:val="none" w:sz="0" w:space="0" w:color="auto"/>
          </w:divBdr>
        </w:div>
        <w:div w:id="488251786">
          <w:marLeft w:val="0"/>
          <w:marRight w:val="0"/>
          <w:marTop w:val="0"/>
          <w:marBottom w:val="0"/>
          <w:divBdr>
            <w:top w:val="none" w:sz="0" w:space="0" w:color="auto"/>
            <w:left w:val="none" w:sz="0" w:space="0" w:color="auto"/>
            <w:bottom w:val="none" w:sz="0" w:space="0" w:color="auto"/>
            <w:right w:val="none" w:sz="0" w:space="0" w:color="auto"/>
          </w:divBdr>
        </w:div>
        <w:div w:id="1237980018">
          <w:marLeft w:val="0"/>
          <w:marRight w:val="0"/>
          <w:marTop w:val="0"/>
          <w:marBottom w:val="0"/>
          <w:divBdr>
            <w:top w:val="none" w:sz="0" w:space="0" w:color="auto"/>
            <w:left w:val="none" w:sz="0" w:space="0" w:color="auto"/>
            <w:bottom w:val="none" w:sz="0" w:space="0" w:color="auto"/>
            <w:right w:val="none" w:sz="0" w:space="0" w:color="auto"/>
          </w:divBdr>
        </w:div>
        <w:div w:id="2106146033">
          <w:marLeft w:val="0"/>
          <w:marRight w:val="0"/>
          <w:marTop w:val="0"/>
          <w:marBottom w:val="0"/>
          <w:divBdr>
            <w:top w:val="none" w:sz="0" w:space="0" w:color="auto"/>
            <w:left w:val="none" w:sz="0" w:space="0" w:color="auto"/>
            <w:bottom w:val="none" w:sz="0" w:space="0" w:color="auto"/>
            <w:right w:val="none" w:sz="0" w:space="0" w:color="auto"/>
          </w:divBdr>
        </w:div>
        <w:div w:id="196088588">
          <w:marLeft w:val="0"/>
          <w:marRight w:val="0"/>
          <w:marTop w:val="0"/>
          <w:marBottom w:val="0"/>
          <w:divBdr>
            <w:top w:val="none" w:sz="0" w:space="0" w:color="auto"/>
            <w:left w:val="none" w:sz="0" w:space="0" w:color="auto"/>
            <w:bottom w:val="none" w:sz="0" w:space="0" w:color="auto"/>
            <w:right w:val="none" w:sz="0" w:space="0" w:color="auto"/>
          </w:divBdr>
        </w:div>
        <w:div w:id="1173908852">
          <w:marLeft w:val="0"/>
          <w:marRight w:val="0"/>
          <w:marTop w:val="0"/>
          <w:marBottom w:val="0"/>
          <w:divBdr>
            <w:top w:val="none" w:sz="0" w:space="0" w:color="auto"/>
            <w:left w:val="none" w:sz="0" w:space="0" w:color="auto"/>
            <w:bottom w:val="none" w:sz="0" w:space="0" w:color="auto"/>
            <w:right w:val="none" w:sz="0" w:space="0" w:color="auto"/>
          </w:divBdr>
        </w:div>
        <w:div w:id="655493736">
          <w:marLeft w:val="0"/>
          <w:marRight w:val="0"/>
          <w:marTop w:val="0"/>
          <w:marBottom w:val="0"/>
          <w:divBdr>
            <w:top w:val="none" w:sz="0" w:space="0" w:color="auto"/>
            <w:left w:val="none" w:sz="0" w:space="0" w:color="auto"/>
            <w:bottom w:val="none" w:sz="0" w:space="0" w:color="auto"/>
            <w:right w:val="none" w:sz="0" w:space="0" w:color="auto"/>
          </w:divBdr>
        </w:div>
        <w:div w:id="1090933737">
          <w:marLeft w:val="0"/>
          <w:marRight w:val="0"/>
          <w:marTop w:val="0"/>
          <w:marBottom w:val="0"/>
          <w:divBdr>
            <w:top w:val="none" w:sz="0" w:space="0" w:color="auto"/>
            <w:left w:val="none" w:sz="0" w:space="0" w:color="auto"/>
            <w:bottom w:val="none" w:sz="0" w:space="0" w:color="auto"/>
            <w:right w:val="none" w:sz="0" w:space="0" w:color="auto"/>
          </w:divBdr>
        </w:div>
        <w:div w:id="676082699">
          <w:marLeft w:val="0"/>
          <w:marRight w:val="0"/>
          <w:marTop w:val="0"/>
          <w:marBottom w:val="0"/>
          <w:divBdr>
            <w:top w:val="none" w:sz="0" w:space="0" w:color="auto"/>
            <w:left w:val="none" w:sz="0" w:space="0" w:color="auto"/>
            <w:bottom w:val="none" w:sz="0" w:space="0" w:color="auto"/>
            <w:right w:val="none" w:sz="0" w:space="0" w:color="auto"/>
          </w:divBdr>
        </w:div>
        <w:div w:id="407113778">
          <w:marLeft w:val="0"/>
          <w:marRight w:val="0"/>
          <w:marTop w:val="0"/>
          <w:marBottom w:val="0"/>
          <w:divBdr>
            <w:top w:val="none" w:sz="0" w:space="0" w:color="auto"/>
            <w:left w:val="none" w:sz="0" w:space="0" w:color="auto"/>
            <w:bottom w:val="none" w:sz="0" w:space="0" w:color="auto"/>
            <w:right w:val="none" w:sz="0" w:space="0" w:color="auto"/>
          </w:divBdr>
        </w:div>
        <w:div w:id="1691025868">
          <w:marLeft w:val="0"/>
          <w:marRight w:val="0"/>
          <w:marTop w:val="0"/>
          <w:marBottom w:val="0"/>
          <w:divBdr>
            <w:top w:val="none" w:sz="0" w:space="0" w:color="auto"/>
            <w:left w:val="none" w:sz="0" w:space="0" w:color="auto"/>
            <w:bottom w:val="none" w:sz="0" w:space="0" w:color="auto"/>
            <w:right w:val="none" w:sz="0" w:space="0" w:color="auto"/>
          </w:divBdr>
        </w:div>
        <w:div w:id="48118386">
          <w:marLeft w:val="0"/>
          <w:marRight w:val="0"/>
          <w:marTop w:val="0"/>
          <w:marBottom w:val="0"/>
          <w:divBdr>
            <w:top w:val="none" w:sz="0" w:space="0" w:color="auto"/>
            <w:left w:val="none" w:sz="0" w:space="0" w:color="auto"/>
            <w:bottom w:val="none" w:sz="0" w:space="0" w:color="auto"/>
            <w:right w:val="none" w:sz="0" w:space="0" w:color="auto"/>
          </w:divBdr>
        </w:div>
        <w:div w:id="1403287700">
          <w:marLeft w:val="0"/>
          <w:marRight w:val="0"/>
          <w:marTop w:val="0"/>
          <w:marBottom w:val="0"/>
          <w:divBdr>
            <w:top w:val="none" w:sz="0" w:space="0" w:color="auto"/>
            <w:left w:val="none" w:sz="0" w:space="0" w:color="auto"/>
            <w:bottom w:val="none" w:sz="0" w:space="0" w:color="auto"/>
            <w:right w:val="none" w:sz="0" w:space="0" w:color="auto"/>
          </w:divBdr>
        </w:div>
        <w:div w:id="62023154">
          <w:marLeft w:val="0"/>
          <w:marRight w:val="0"/>
          <w:marTop w:val="0"/>
          <w:marBottom w:val="0"/>
          <w:divBdr>
            <w:top w:val="none" w:sz="0" w:space="0" w:color="auto"/>
            <w:left w:val="none" w:sz="0" w:space="0" w:color="auto"/>
            <w:bottom w:val="none" w:sz="0" w:space="0" w:color="auto"/>
            <w:right w:val="none" w:sz="0" w:space="0" w:color="auto"/>
          </w:divBdr>
        </w:div>
        <w:div w:id="670451832">
          <w:marLeft w:val="0"/>
          <w:marRight w:val="0"/>
          <w:marTop w:val="0"/>
          <w:marBottom w:val="0"/>
          <w:divBdr>
            <w:top w:val="none" w:sz="0" w:space="0" w:color="auto"/>
            <w:left w:val="none" w:sz="0" w:space="0" w:color="auto"/>
            <w:bottom w:val="none" w:sz="0" w:space="0" w:color="auto"/>
            <w:right w:val="none" w:sz="0" w:space="0" w:color="auto"/>
          </w:divBdr>
        </w:div>
        <w:div w:id="1071319263">
          <w:marLeft w:val="0"/>
          <w:marRight w:val="0"/>
          <w:marTop w:val="0"/>
          <w:marBottom w:val="0"/>
          <w:divBdr>
            <w:top w:val="none" w:sz="0" w:space="0" w:color="auto"/>
            <w:left w:val="none" w:sz="0" w:space="0" w:color="auto"/>
            <w:bottom w:val="none" w:sz="0" w:space="0" w:color="auto"/>
            <w:right w:val="none" w:sz="0" w:space="0" w:color="auto"/>
          </w:divBdr>
        </w:div>
        <w:div w:id="1591045369">
          <w:marLeft w:val="0"/>
          <w:marRight w:val="0"/>
          <w:marTop w:val="0"/>
          <w:marBottom w:val="0"/>
          <w:divBdr>
            <w:top w:val="none" w:sz="0" w:space="0" w:color="auto"/>
            <w:left w:val="none" w:sz="0" w:space="0" w:color="auto"/>
            <w:bottom w:val="none" w:sz="0" w:space="0" w:color="auto"/>
            <w:right w:val="none" w:sz="0" w:space="0" w:color="auto"/>
          </w:divBdr>
        </w:div>
        <w:div w:id="1138841709">
          <w:marLeft w:val="0"/>
          <w:marRight w:val="0"/>
          <w:marTop w:val="0"/>
          <w:marBottom w:val="0"/>
          <w:divBdr>
            <w:top w:val="none" w:sz="0" w:space="0" w:color="auto"/>
            <w:left w:val="none" w:sz="0" w:space="0" w:color="auto"/>
            <w:bottom w:val="none" w:sz="0" w:space="0" w:color="auto"/>
            <w:right w:val="none" w:sz="0" w:space="0" w:color="auto"/>
          </w:divBdr>
        </w:div>
        <w:div w:id="1585534370">
          <w:marLeft w:val="0"/>
          <w:marRight w:val="0"/>
          <w:marTop w:val="0"/>
          <w:marBottom w:val="0"/>
          <w:divBdr>
            <w:top w:val="none" w:sz="0" w:space="0" w:color="auto"/>
            <w:left w:val="none" w:sz="0" w:space="0" w:color="auto"/>
            <w:bottom w:val="none" w:sz="0" w:space="0" w:color="auto"/>
            <w:right w:val="none" w:sz="0" w:space="0" w:color="auto"/>
          </w:divBdr>
        </w:div>
        <w:div w:id="1142310440">
          <w:marLeft w:val="0"/>
          <w:marRight w:val="0"/>
          <w:marTop w:val="0"/>
          <w:marBottom w:val="0"/>
          <w:divBdr>
            <w:top w:val="none" w:sz="0" w:space="0" w:color="auto"/>
            <w:left w:val="none" w:sz="0" w:space="0" w:color="auto"/>
            <w:bottom w:val="none" w:sz="0" w:space="0" w:color="auto"/>
            <w:right w:val="none" w:sz="0" w:space="0" w:color="auto"/>
          </w:divBdr>
        </w:div>
        <w:div w:id="334117204">
          <w:marLeft w:val="0"/>
          <w:marRight w:val="0"/>
          <w:marTop w:val="0"/>
          <w:marBottom w:val="0"/>
          <w:divBdr>
            <w:top w:val="none" w:sz="0" w:space="0" w:color="auto"/>
            <w:left w:val="none" w:sz="0" w:space="0" w:color="auto"/>
            <w:bottom w:val="none" w:sz="0" w:space="0" w:color="auto"/>
            <w:right w:val="none" w:sz="0" w:space="0" w:color="auto"/>
          </w:divBdr>
        </w:div>
        <w:div w:id="1913075907">
          <w:marLeft w:val="0"/>
          <w:marRight w:val="0"/>
          <w:marTop w:val="0"/>
          <w:marBottom w:val="0"/>
          <w:divBdr>
            <w:top w:val="none" w:sz="0" w:space="0" w:color="auto"/>
            <w:left w:val="none" w:sz="0" w:space="0" w:color="auto"/>
            <w:bottom w:val="none" w:sz="0" w:space="0" w:color="auto"/>
            <w:right w:val="none" w:sz="0" w:space="0" w:color="auto"/>
          </w:divBdr>
        </w:div>
        <w:div w:id="675495801">
          <w:marLeft w:val="0"/>
          <w:marRight w:val="0"/>
          <w:marTop w:val="0"/>
          <w:marBottom w:val="0"/>
          <w:divBdr>
            <w:top w:val="none" w:sz="0" w:space="0" w:color="auto"/>
            <w:left w:val="none" w:sz="0" w:space="0" w:color="auto"/>
            <w:bottom w:val="none" w:sz="0" w:space="0" w:color="auto"/>
            <w:right w:val="none" w:sz="0" w:space="0" w:color="auto"/>
          </w:divBdr>
        </w:div>
        <w:div w:id="536352218">
          <w:marLeft w:val="0"/>
          <w:marRight w:val="0"/>
          <w:marTop w:val="0"/>
          <w:marBottom w:val="0"/>
          <w:divBdr>
            <w:top w:val="none" w:sz="0" w:space="0" w:color="auto"/>
            <w:left w:val="none" w:sz="0" w:space="0" w:color="auto"/>
            <w:bottom w:val="none" w:sz="0" w:space="0" w:color="auto"/>
            <w:right w:val="none" w:sz="0" w:space="0" w:color="auto"/>
          </w:divBdr>
        </w:div>
        <w:div w:id="1575167866">
          <w:marLeft w:val="0"/>
          <w:marRight w:val="0"/>
          <w:marTop w:val="0"/>
          <w:marBottom w:val="0"/>
          <w:divBdr>
            <w:top w:val="none" w:sz="0" w:space="0" w:color="auto"/>
            <w:left w:val="none" w:sz="0" w:space="0" w:color="auto"/>
            <w:bottom w:val="none" w:sz="0" w:space="0" w:color="auto"/>
            <w:right w:val="none" w:sz="0" w:space="0" w:color="auto"/>
          </w:divBdr>
        </w:div>
        <w:div w:id="2076394841">
          <w:marLeft w:val="0"/>
          <w:marRight w:val="0"/>
          <w:marTop w:val="0"/>
          <w:marBottom w:val="0"/>
          <w:divBdr>
            <w:top w:val="none" w:sz="0" w:space="0" w:color="auto"/>
            <w:left w:val="none" w:sz="0" w:space="0" w:color="auto"/>
            <w:bottom w:val="none" w:sz="0" w:space="0" w:color="auto"/>
            <w:right w:val="none" w:sz="0" w:space="0" w:color="auto"/>
          </w:divBdr>
        </w:div>
        <w:div w:id="210266286">
          <w:marLeft w:val="0"/>
          <w:marRight w:val="0"/>
          <w:marTop w:val="0"/>
          <w:marBottom w:val="0"/>
          <w:divBdr>
            <w:top w:val="none" w:sz="0" w:space="0" w:color="auto"/>
            <w:left w:val="none" w:sz="0" w:space="0" w:color="auto"/>
            <w:bottom w:val="none" w:sz="0" w:space="0" w:color="auto"/>
            <w:right w:val="none" w:sz="0" w:space="0" w:color="auto"/>
          </w:divBdr>
        </w:div>
        <w:div w:id="156508075">
          <w:marLeft w:val="0"/>
          <w:marRight w:val="0"/>
          <w:marTop w:val="0"/>
          <w:marBottom w:val="0"/>
          <w:divBdr>
            <w:top w:val="none" w:sz="0" w:space="0" w:color="auto"/>
            <w:left w:val="none" w:sz="0" w:space="0" w:color="auto"/>
            <w:bottom w:val="none" w:sz="0" w:space="0" w:color="auto"/>
            <w:right w:val="none" w:sz="0" w:space="0" w:color="auto"/>
          </w:divBdr>
        </w:div>
        <w:div w:id="1911188858">
          <w:marLeft w:val="0"/>
          <w:marRight w:val="0"/>
          <w:marTop w:val="0"/>
          <w:marBottom w:val="0"/>
          <w:divBdr>
            <w:top w:val="none" w:sz="0" w:space="0" w:color="auto"/>
            <w:left w:val="none" w:sz="0" w:space="0" w:color="auto"/>
            <w:bottom w:val="none" w:sz="0" w:space="0" w:color="auto"/>
            <w:right w:val="none" w:sz="0" w:space="0" w:color="auto"/>
          </w:divBdr>
        </w:div>
        <w:div w:id="375348412">
          <w:marLeft w:val="0"/>
          <w:marRight w:val="0"/>
          <w:marTop w:val="0"/>
          <w:marBottom w:val="0"/>
          <w:divBdr>
            <w:top w:val="none" w:sz="0" w:space="0" w:color="auto"/>
            <w:left w:val="none" w:sz="0" w:space="0" w:color="auto"/>
            <w:bottom w:val="none" w:sz="0" w:space="0" w:color="auto"/>
            <w:right w:val="none" w:sz="0" w:space="0" w:color="auto"/>
          </w:divBdr>
        </w:div>
        <w:div w:id="903684984">
          <w:marLeft w:val="0"/>
          <w:marRight w:val="0"/>
          <w:marTop w:val="0"/>
          <w:marBottom w:val="0"/>
          <w:divBdr>
            <w:top w:val="none" w:sz="0" w:space="0" w:color="auto"/>
            <w:left w:val="none" w:sz="0" w:space="0" w:color="auto"/>
            <w:bottom w:val="none" w:sz="0" w:space="0" w:color="auto"/>
            <w:right w:val="none" w:sz="0" w:space="0" w:color="auto"/>
          </w:divBdr>
        </w:div>
        <w:div w:id="881945107">
          <w:marLeft w:val="0"/>
          <w:marRight w:val="0"/>
          <w:marTop w:val="0"/>
          <w:marBottom w:val="0"/>
          <w:divBdr>
            <w:top w:val="none" w:sz="0" w:space="0" w:color="auto"/>
            <w:left w:val="none" w:sz="0" w:space="0" w:color="auto"/>
            <w:bottom w:val="none" w:sz="0" w:space="0" w:color="auto"/>
            <w:right w:val="none" w:sz="0" w:space="0" w:color="auto"/>
          </w:divBdr>
        </w:div>
        <w:div w:id="2109232387">
          <w:marLeft w:val="0"/>
          <w:marRight w:val="0"/>
          <w:marTop w:val="0"/>
          <w:marBottom w:val="0"/>
          <w:divBdr>
            <w:top w:val="none" w:sz="0" w:space="0" w:color="auto"/>
            <w:left w:val="none" w:sz="0" w:space="0" w:color="auto"/>
            <w:bottom w:val="none" w:sz="0" w:space="0" w:color="auto"/>
            <w:right w:val="none" w:sz="0" w:space="0" w:color="auto"/>
          </w:divBdr>
        </w:div>
        <w:div w:id="1970430824">
          <w:marLeft w:val="0"/>
          <w:marRight w:val="0"/>
          <w:marTop w:val="0"/>
          <w:marBottom w:val="0"/>
          <w:divBdr>
            <w:top w:val="none" w:sz="0" w:space="0" w:color="auto"/>
            <w:left w:val="none" w:sz="0" w:space="0" w:color="auto"/>
            <w:bottom w:val="none" w:sz="0" w:space="0" w:color="auto"/>
            <w:right w:val="none" w:sz="0" w:space="0" w:color="auto"/>
          </w:divBdr>
        </w:div>
        <w:div w:id="577832414">
          <w:marLeft w:val="0"/>
          <w:marRight w:val="0"/>
          <w:marTop w:val="0"/>
          <w:marBottom w:val="0"/>
          <w:divBdr>
            <w:top w:val="none" w:sz="0" w:space="0" w:color="auto"/>
            <w:left w:val="none" w:sz="0" w:space="0" w:color="auto"/>
            <w:bottom w:val="none" w:sz="0" w:space="0" w:color="auto"/>
            <w:right w:val="none" w:sz="0" w:space="0" w:color="auto"/>
          </w:divBdr>
        </w:div>
        <w:div w:id="795949937">
          <w:marLeft w:val="0"/>
          <w:marRight w:val="0"/>
          <w:marTop w:val="0"/>
          <w:marBottom w:val="0"/>
          <w:divBdr>
            <w:top w:val="none" w:sz="0" w:space="0" w:color="auto"/>
            <w:left w:val="none" w:sz="0" w:space="0" w:color="auto"/>
            <w:bottom w:val="none" w:sz="0" w:space="0" w:color="auto"/>
            <w:right w:val="none" w:sz="0" w:space="0" w:color="auto"/>
          </w:divBdr>
        </w:div>
        <w:div w:id="1882595164">
          <w:marLeft w:val="0"/>
          <w:marRight w:val="0"/>
          <w:marTop w:val="0"/>
          <w:marBottom w:val="0"/>
          <w:divBdr>
            <w:top w:val="none" w:sz="0" w:space="0" w:color="auto"/>
            <w:left w:val="none" w:sz="0" w:space="0" w:color="auto"/>
            <w:bottom w:val="none" w:sz="0" w:space="0" w:color="auto"/>
            <w:right w:val="none" w:sz="0" w:space="0" w:color="auto"/>
          </w:divBdr>
        </w:div>
        <w:div w:id="499850888">
          <w:marLeft w:val="0"/>
          <w:marRight w:val="0"/>
          <w:marTop w:val="0"/>
          <w:marBottom w:val="0"/>
          <w:divBdr>
            <w:top w:val="none" w:sz="0" w:space="0" w:color="auto"/>
            <w:left w:val="none" w:sz="0" w:space="0" w:color="auto"/>
            <w:bottom w:val="none" w:sz="0" w:space="0" w:color="auto"/>
            <w:right w:val="none" w:sz="0" w:space="0" w:color="auto"/>
          </w:divBdr>
        </w:div>
        <w:div w:id="1790976638">
          <w:marLeft w:val="0"/>
          <w:marRight w:val="0"/>
          <w:marTop w:val="0"/>
          <w:marBottom w:val="0"/>
          <w:divBdr>
            <w:top w:val="none" w:sz="0" w:space="0" w:color="auto"/>
            <w:left w:val="none" w:sz="0" w:space="0" w:color="auto"/>
            <w:bottom w:val="none" w:sz="0" w:space="0" w:color="auto"/>
            <w:right w:val="none" w:sz="0" w:space="0" w:color="auto"/>
          </w:divBdr>
        </w:div>
        <w:div w:id="1108695561">
          <w:marLeft w:val="0"/>
          <w:marRight w:val="0"/>
          <w:marTop w:val="0"/>
          <w:marBottom w:val="0"/>
          <w:divBdr>
            <w:top w:val="none" w:sz="0" w:space="0" w:color="auto"/>
            <w:left w:val="none" w:sz="0" w:space="0" w:color="auto"/>
            <w:bottom w:val="none" w:sz="0" w:space="0" w:color="auto"/>
            <w:right w:val="none" w:sz="0" w:space="0" w:color="auto"/>
          </w:divBdr>
        </w:div>
        <w:div w:id="634718341">
          <w:marLeft w:val="0"/>
          <w:marRight w:val="0"/>
          <w:marTop w:val="0"/>
          <w:marBottom w:val="0"/>
          <w:divBdr>
            <w:top w:val="none" w:sz="0" w:space="0" w:color="auto"/>
            <w:left w:val="none" w:sz="0" w:space="0" w:color="auto"/>
            <w:bottom w:val="none" w:sz="0" w:space="0" w:color="auto"/>
            <w:right w:val="none" w:sz="0" w:space="0" w:color="auto"/>
          </w:divBdr>
        </w:div>
        <w:div w:id="1318533905">
          <w:marLeft w:val="0"/>
          <w:marRight w:val="0"/>
          <w:marTop w:val="0"/>
          <w:marBottom w:val="0"/>
          <w:divBdr>
            <w:top w:val="none" w:sz="0" w:space="0" w:color="auto"/>
            <w:left w:val="none" w:sz="0" w:space="0" w:color="auto"/>
            <w:bottom w:val="none" w:sz="0" w:space="0" w:color="auto"/>
            <w:right w:val="none" w:sz="0" w:space="0" w:color="auto"/>
          </w:divBdr>
        </w:div>
        <w:div w:id="81608408">
          <w:marLeft w:val="0"/>
          <w:marRight w:val="0"/>
          <w:marTop w:val="0"/>
          <w:marBottom w:val="0"/>
          <w:divBdr>
            <w:top w:val="none" w:sz="0" w:space="0" w:color="auto"/>
            <w:left w:val="none" w:sz="0" w:space="0" w:color="auto"/>
            <w:bottom w:val="none" w:sz="0" w:space="0" w:color="auto"/>
            <w:right w:val="none" w:sz="0" w:space="0" w:color="auto"/>
          </w:divBdr>
        </w:div>
        <w:div w:id="2058507503">
          <w:marLeft w:val="0"/>
          <w:marRight w:val="0"/>
          <w:marTop w:val="0"/>
          <w:marBottom w:val="0"/>
          <w:divBdr>
            <w:top w:val="none" w:sz="0" w:space="0" w:color="auto"/>
            <w:left w:val="none" w:sz="0" w:space="0" w:color="auto"/>
            <w:bottom w:val="none" w:sz="0" w:space="0" w:color="auto"/>
            <w:right w:val="none" w:sz="0" w:space="0" w:color="auto"/>
          </w:divBdr>
        </w:div>
        <w:div w:id="2071729126">
          <w:marLeft w:val="0"/>
          <w:marRight w:val="0"/>
          <w:marTop w:val="0"/>
          <w:marBottom w:val="0"/>
          <w:divBdr>
            <w:top w:val="none" w:sz="0" w:space="0" w:color="auto"/>
            <w:left w:val="none" w:sz="0" w:space="0" w:color="auto"/>
            <w:bottom w:val="none" w:sz="0" w:space="0" w:color="auto"/>
            <w:right w:val="none" w:sz="0" w:space="0" w:color="auto"/>
          </w:divBdr>
        </w:div>
        <w:div w:id="2091150684">
          <w:marLeft w:val="0"/>
          <w:marRight w:val="0"/>
          <w:marTop w:val="0"/>
          <w:marBottom w:val="0"/>
          <w:divBdr>
            <w:top w:val="none" w:sz="0" w:space="0" w:color="auto"/>
            <w:left w:val="none" w:sz="0" w:space="0" w:color="auto"/>
            <w:bottom w:val="none" w:sz="0" w:space="0" w:color="auto"/>
            <w:right w:val="none" w:sz="0" w:space="0" w:color="auto"/>
          </w:divBdr>
        </w:div>
      </w:divsChild>
    </w:div>
    <w:div w:id="4379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2423</Words>
  <Characters>13817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cheneghan</dc:creator>
  <cp:lastModifiedBy>Carl Heneghan</cp:lastModifiedBy>
  <cp:revision>3</cp:revision>
  <cp:lastPrinted>2014-03-27T10:02:00Z</cp:lastPrinted>
  <dcterms:created xsi:type="dcterms:W3CDTF">2014-11-09T17:29:00Z</dcterms:created>
  <dcterms:modified xsi:type="dcterms:W3CDTF">2014-11-09T17:31:00Z</dcterms:modified>
</cp:coreProperties>
</file>