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 w:rsidR="00D93623">
        <w:rPr>
          <w:b/>
        </w:rPr>
        <w:t>–</w:t>
      </w:r>
      <w:r w:rsidR="00164538">
        <w:rPr>
          <w:b/>
        </w:rPr>
        <w:t xml:space="preserve"> </w:t>
      </w:r>
      <w:r w:rsidR="00D3666B">
        <w:rPr>
          <w:b/>
        </w:rPr>
        <w:t>15</w:t>
      </w:r>
    </w:p>
    <w:p w:rsidR="00567608" w:rsidRDefault="00567608" w:rsidP="00567608">
      <w:pPr>
        <w:jc w:val="center"/>
      </w:pPr>
      <w:r>
        <w:rPr>
          <w:noProof/>
          <w:lang w:eastAsia="en-GB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36" w:rsidRPr="005E3D36" w:rsidRDefault="00C25A7D" w:rsidP="005E3D36">
      <w:pPr>
        <w:rPr>
          <w:i/>
        </w:rPr>
      </w:pPr>
      <w:r>
        <w:rPr>
          <w:i/>
        </w:rPr>
        <w:t>Estimating a hazard ratio from a Kaplan curve and information about follow-up</w:t>
      </w:r>
      <w:r w:rsidR="00CD20D7">
        <w:rPr>
          <w:i/>
        </w:rPr>
        <w:t xml:space="preserve">  </w:t>
      </w:r>
      <w:r w:rsidR="005E3D36" w:rsidRPr="005E3D36">
        <w:rPr>
          <w:i/>
        </w:rPr>
        <w:t xml:space="preserve">  </w:t>
      </w:r>
    </w:p>
    <w:p w:rsidR="001C4A6A" w:rsidRDefault="001C4A6A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6F214C" w:rsidRDefault="00C25A7D" w:rsidP="006F214C">
      <w:r>
        <w:t xml:space="preserve">In my previous </w:t>
      </w:r>
      <w:hyperlink r:id="rId7" w:history="1">
        <w:r w:rsidRPr="006B7AE4">
          <w:rPr>
            <w:rStyle w:val="Hyperlink"/>
          </w:rPr>
          <w:t>post</w:t>
        </w:r>
      </w:hyperlink>
      <w:r>
        <w:t xml:space="preserve"> I highlighted </w:t>
      </w:r>
      <w:r w:rsidR="00B7146B">
        <w:t xml:space="preserve">the </w:t>
      </w:r>
      <w:r>
        <w:t>paper</w:t>
      </w:r>
      <w:r w:rsidR="00BA5C0B">
        <w:t xml:space="preserve"> </w:t>
      </w:r>
      <w:r w:rsidR="00BF79AC">
        <w:t>by</w:t>
      </w:r>
      <w:r w:rsidR="00B8097E">
        <w:t xml:space="preserve"> </w:t>
      </w:r>
      <w:hyperlink r:id="rId8" w:history="1">
        <w:r w:rsidR="00AA7030" w:rsidRPr="0037488E">
          <w:rPr>
            <w:rStyle w:val="Hyperlink"/>
          </w:rPr>
          <w:t>Tierney et al</w:t>
        </w:r>
      </w:hyperlink>
      <w:r>
        <w:t xml:space="preserve"> </w:t>
      </w:r>
      <w:r w:rsidR="00BF79AC">
        <w:t>which describes how to</w:t>
      </w:r>
      <w:r>
        <w:t xml:space="preserve"> estimat</w:t>
      </w:r>
      <w:r w:rsidR="00BF79AC">
        <w:t>e</w:t>
      </w:r>
      <w:r>
        <w:t xml:space="preserve"> hazard ratios (HRs) from Kaplan Meier </w:t>
      </w:r>
      <w:r w:rsidR="006F214C">
        <w:t xml:space="preserve">(K-M) </w:t>
      </w:r>
      <w:r>
        <w:t>curves</w:t>
      </w:r>
      <w:r w:rsidR="00B7146B">
        <w:t xml:space="preserve"> and other time-to-event data</w:t>
      </w:r>
      <w:r>
        <w:t xml:space="preserve">. I also showed </w:t>
      </w:r>
      <w:r w:rsidR="00BF79AC">
        <w:t>an example of the use of th</w:t>
      </w:r>
      <w:r w:rsidR="00CE560C">
        <w:t>eir</w:t>
      </w:r>
      <w:r w:rsidR="00BF79AC">
        <w:t xml:space="preserve"> </w:t>
      </w:r>
      <w:r>
        <w:t>spreadsheet</w:t>
      </w:r>
      <w:r w:rsidR="00BF79AC">
        <w:t xml:space="preserve"> </w:t>
      </w:r>
      <w:r w:rsidR="00FA13F7">
        <w:t xml:space="preserve">calculator </w:t>
      </w:r>
      <w:r w:rsidR="00CD56FD">
        <w:t>with</w:t>
      </w:r>
      <w:r w:rsidR="00BF79AC">
        <w:t xml:space="preserve"> </w:t>
      </w:r>
      <w:r w:rsidR="00CE560C">
        <w:t>the FLOT4</w:t>
      </w:r>
      <w:r>
        <w:t xml:space="preserve"> </w:t>
      </w:r>
      <w:hyperlink r:id="rId9" w:history="1">
        <w:r w:rsidRPr="00327771">
          <w:rPr>
            <w:rStyle w:val="Hyperlink"/>
          </w:rPr>
          <w:t>trial</w:t>
        </w:r>
      </w:hyperlink>
      <w:r>
        <w:t xml:space="preserve"> data. In this post I’ll going to look at the </w:t>
      </w:r>
      <w:r w:rsidR="00CE560C">
        <w:t xml:space="preserve">underlying </w:t>
      </w:r>
      <w:r>
        <w:t>equations</w:t>
      </w:r>
      <w:r w:rsidR="00BF79AC">
        <w:t xml:space="preserve"> for the case of </w:t>
      </w:r>
      <w:r>
        <w:t>K</w:t>
      </w:r>
      <w:r w:rsidR="006F214C">
        <w:t>-M</w:t>
      </w:r>
      <w:r>
        <w:t xml:space="preserve"> curve</w:t>
      </w:r>
      <w:r w:rsidR="00CD56FD">
        <w:t xml:space="preserve">s </w:t>
      </w:r>
      <w:r w:rsidR="00BF79AC">
        <w:t xml:space="preserve">reported </w:t>
      </w:r>
      <w:r>
        <w:t>with information about follow-up</w:t>
      </w:r>
      <w:r w:rsidR="00F05209">
        <w:t xml:space="preserve"> and </w:t>
      </w:r>
      <w:r w:rsidR="0035264A">
        <w:t xml:space="preserve">work through </w:t>
      </w:r>
      <w:r w:rsidR="00FA13F7">
        <w:t xml:space="preserve">equations </w:t>
      </w:r>
      <w:r w:rsidR="00F05209">
        <w:t xml:space="preserve">the FLOT4 trial </w:t>
      </w:r>
      <w:r w:rsidR="006F214C">
        <w:t>data.</w:t>
      </w:r>
    </w:p>
    <w:p w:rsidR="006F214C" w:rsidRDefault="006F214C" w:rsidP="006F214C"/>
    <w:p w:rsidR="00BF79AC" w:rsidRDefault="006F214C" w:rsidP="006F214C">
      <w:r>
        <w:t xml:space="preserve">I’d like to thank David Fisher (MRC Clinical Trials Unit, UCL) for his help </w:t>
      </w:r>
      <w:r w:rsidR="00FA13F7">
        <w:t>in</w:t>
      </w:r>
      <w:r w:rsidR="00187D2F">
        <w:t xml:space="preserve"> deriving the equations</w:t>
      </w:r>
      <w:r w:rsidR="009E588E">
        <w:t>.</w:t>
      </w:r>
      <w:r>
        <w:t xml:space="preserve"> </w:t>
      </w:r>
    </w:p>
    <w:p w:rsidR="006F214C" w:rsidRDefault="006F214C">
      <w:pPr>
        <w:spacing w:after="160" w:line="259" w:lineRule="auto"/>
        <w:jc w:val="left"/>
      </w:pPr>
    </w:p>
    <w:p w:rsidR="00CD56FD" w:rsidRPr="00D93623" w:rsidRDefault="00D93623" w:rsidP="003A0C28">
      <w:pPr>
        <w:rPr>
          <w:szCs w:val="24"/>
        </w:rPr>
      </w:pPr>
      <w:r w:rsidRPr="00D93623">
        <w:rPr>
          <w:szCs w:val="24"/>
        </w:rPr>
        <w:t>Table</w:t>
      </w:r>
      <w:r w:rsidR="00FA13F7">
        <w:rPr>
          <w:szCs w:val="24"/>
        </w:rPr>
        <w:t xml:space="preserve"> 1</w:t>
      </w:r>
      <w:r w:rsidRPr="00D93623">
        <w:rPr>
          <w:szCs w:val="24"/>
        </w:rPr>
        <w:t xml:space="preserve">. </w:t>
      </w:r>
      <w:r w:rsidR="00187D2F">
        <w:rPr>
          <w:szCs w:val="24"/>
        </w:rPr>
        <w:t>Data</w:t>
      </w:r>
      <w:r w:rsidRPr="00D93623">
        <w:rPr>
          <w:szCs w:val="24"/>
        </w:rPr>
        <w:t xml:space="preserve"> for the FLOT4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1843"/>
      </w:tblGrid>
      <w:tr w:rsidR="00187D2F" w:rsidRPr="00CD56FD" w:rsidTr="0047573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Time at start of interval (months)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Survival (event-free)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Reported numbers at risk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360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DB5218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287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126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D2F" w:rsidRPr="00D93623" w:rsidRDefault="00187D2F" w:rsidP="0047573C">
            <w:pPr>
              <w:jc w:val="center"/>
              <w:rPr>
                <w:sz w:val="18"/>
                <w:szCs w:val="18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D93623" w:rsidRDefault="00187D2F" w:rsidP="0047573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7D2F" w:rsidRPr="00CD56FD" w:rsidTr="0047573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D2F" w:rsidRPr="00CD56FD" w:rsidRDefault="00187D2F" w:rsidP="004757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</w:tbl>
    <w:p w:rsidR="00CE560C" w:rsidRDefault="00CE560C" w:rsidP="00CE560C"/>
    <w:p w:rsidR="00CE560C" w:rsidRDefault="00CE560C" w:rsidP="00CE560C">
      <w:r>
        <w:t>Table</w:t>
      </w:r>
      <w:r w:rsidR="00FA13F7">
        <w:t xml:space="preserve"> 1</w:t>
      </w:r>
      <w:r>
        <w:t xml:space="preserve"> shows my extracted data with the reported numbers at risk of mortality for the FLOT4 trial. This was a trial of two different peri-operative chemotherapy regimes in patients with gastric or gastro-oesophageal cancer. The treatment groups are abbreviated FLOT (for the research, intervention group) and ECF/ECX (for the comparator group).</w:t>
      </w:r>
    </w:p>
    <w:p w:rsidR="005D4C2D" w:rsidRDefault="005D4C2D" w:rsidP="005D4C2D"/>
    <w:p w:rsidR="005D4C2D" w:rsidRDefault="005D4C2D" w:rsidP="005D4C2D">
      <w:r>
        <w:t>The spreadsheet estimat</w:t>
      </w:r>
      <w:r w:rsidR="002E2506">
        <w:t>es</w:t>
      </w:r>
      <w:r>
        <w:t xml:space="preserve"> for each time</w:t>
      </w:r>
      <w:r w:rsidR="007F2D71">
        <w:t xml:space="preserve"> interval and each treatment arm</w:t>
      </w:r>
      <w:r w:rsidR="00FA13F7">
        <w:t xml:space="preserve"> (Figure)</w:t>
      </w:r>
      <w:r>
        <w:t>:</w:t>
      </w:r>
    </w:p>
    <w:p w:rsidR="005D4C2D" w:rsidRDefault="005D4C2D" w:rsidP="005B149D">
      <w:pPr>
        <w:pStyle w:val="ListParagraph"/>
        <w:numPr>
          <w:ilvl w:val="0"/>
          <w:numId w:val="14"/>
        </w:numPr>
        <w:ind w:left="360"/>
      </w:pPr>
      <w:r>
        <w:t xml:space="preserve">Numbers </w:t>
      </w:r>
      <w:r w:rsidR="002E2506">
        <w:t xml:space="preserve">of patients </w:t>
      </w:r>
      <w:r w:rsidR="00EB411B">
        <w:t>at risk</w:t>
      </w:r>
      <w:r w:rsidR="00A86F05">
        <w:t xml:space="preserve"> (</w:t>
      </w:r>
      <w:r>
        <w:t>without events</w:t>
      </w:r>
      <w:r w:rsidR="00A86F05">
        <w:t>)</w:t>
      </w:r>
      <w:r>
        <w:t xml:space="preserve"> at the start of the current interval</w:t>
      </w:r>
    </w:p>
    <w:p w:rsidR="005D4C2D" w:rsidRDefault="005D4C2D" w:rsidP="005B149D">
      <w:pPr>
        <w:pStyle w:val="ListParagraph"/>
        <w:numPr>
          <w:ilvl w:val="0"/>
          <w:numId w:val="14"/>
        </w:numPr>
        <w:ind w:left="360"/>
      </w:pPr>
      <w:r>
        <w:t>Numbers censored during the current interval</w:t>
      </w:r>
    </w:p>
    <w:p w:rsidR="005D4C2D" w:rsidRDefault="005D4C2D" w:rsidP="005B149D">
      <w:pPr>
        <w:pStyle w:val="ListParagraph"/>
        <w:numPr>
          <w:ilvl w:val="0"/>
          <w:numId w:val="14"/>
        </w:numPr>
        <w:ind w:left="360"/>
      </w:pPr>
      <w:r>
        <w:t>Numbers at risk during the current interval</w:t>
      </w:r>
      <w:r w:rsidR="00D54AB1">
        <w:t>, adjusted for censoring</w:t>
      </w:r>
    </w:p>
    <w:p w:rsidR="005D4C2D" w:rsidRDefault="005D4C2D" w:rsidP="005B149D">
      <w:pPr>
        <w:pStyle w:val="ListParagraph"/>
        <w:numPr>
          <w:ilvl w:val="0"/>
          <w:numId w:val="14"/>
        </w:numPr>
        <w:ind w:left="360"/>
      </w:pPr>
      <w:r>
        <w:t xml:space="preserve">Numbers of </w:t>
      </w:r>
      <w:r w:rsidR="00FA6882">
        <w:t>(</w:t>
      </w:r>
      <w:r w:rsidR="002E2506">
        <w:t>patients with</w:t>
      </w:r>
      <w:r w:rsidR="00FA6882">
        <w:t>)</w:t>
      </w:r>
      <w:r w:rsidR="002E2506">
        <w:t xml:space="preserve"> </w:t>
      </w:r>
      <w:r>
        <w:t>events during the current interval</w:t>
      </w:r>
    </w:p>
    <w:p w:rsidR="005D4C2D" w:rsidRDefault="005D4C2D" w:rsidP="005B149D">
      <w:pPr>
        <w:pStyle w:val="ListParagraph"/>
        <w:numPr>
          <w:ilvl w:val="0"/>
          <w:numId w:val="14"/>
        </w:numPr>
        <w:ind w:left="360"/>
      </w:pPr>
      <w:r>
        <w:t>O-E</w:t>
      </w:r>
      <w:r w:rsidR="002E2506">
        <w:t>,</w:t>
      </w:r>
      <w:r>
        <w:t xml:space="preserve"> V and </w:t>
      </w:r>
      <w:r w:rsidR="002E2506">
        <w:t xml:space="preserve">the </w:t>
      </w:r>
      <w:r>
        <w:t>HR for the current interval</w:t>
      </w:r>
      <w:r w:rsidR="002E2506">
        <w:t xml:space="preserve"> </w:t>
      </w:r>
    </w:p>
    <w:p w:rsidR="002E2506" w:rsidRDefault="002E2506" w:rsidP="005B149D">
      <w:r>
        <w:t xml:space="preserve">These </w:t>
      </w:r>
      <w:r w:rsidR="009310A4">
        <w:t>s</w:t>
      </w:r>
      <w:r>
        <w:t xml:space="preserve">teps are repeated across all intervals and </w:t>
      </w:r>
      <w:r w:rsidR="009310A4">
        <w:t xml:space="preserve">finally </w:t>
      </w:r>
      <w:r>
        <w:t xml:space="preserve">these statistics are </w:t>
      </w:r>
      <w:r w:rsidR="009310A4">
        <w:t xml:space="preserve">combined to </w:t>
      </w:r>
      <w:r>
        <w:t>calculat</w:t>
      </w:r>
      <w:r w:rsidR="009310A4">
        <w:t>e</w:t>
      </w:r>
      <w:r>
        <w:t>:</w:t>
      </w:r>
    </w:p>
    <w:p w:rsidR="005D4C2D" w:rsidRDefault="00056D84" w:rsidP="00FC5D10">
      <w:pPr>
        <w:pStyle w:val="ListParagraph"/>
        <w:numPr>
          <w:ilvl w:val="0"/>
          <w:numId w:val="14"/>
        </w:numPr>
        <w:ind w:left="360"/>
      </w:pPr>
      <w:r>
        <w:t>O</w:t>
      </w:r>
      <w:r w:rsidR="002E2506">
        <w:t>-E, V and the HR for the whole</w:t>
      </w:r>
      <w:r w:rsidR="00FC5D10">
        <w:t xml:space="preserve"> </w:t>
      </w:r>
      <w:r w:rsidR="002E2506">
        <w:t>survival curve.</w:t>
      </w:r>
    </w:p>
    <w:p w:rsidR="000A731B" w:rsidRDefault="00EA1E6A" w:rsidP="000A731B">
      <w:pPr>
        <w:jc w:val="left"/>
      </w:pPr>
      <w:r>
        <w:t>Note that for the intervals up to the minimum follow-up time, no patients are censored.</w:t>
      </w:r>
    </w:p>
    <w:p w:rsidR="001A583D" w:rsidRDefault="002D57DD" w:rsidP="00FC5D10">
      <w:pPr>
        <w:jc w:val="center"/>
      </w:pPr>
      <w:r>
        <w:rPr>
          <w:noProof/>
          <w:lang w:eastAsia="en-GB"/>
        </w:rPr>
        <w:drawing>
          <wp:inline distT="0" distB="0" distL="0" distR="0" wp14:anchorId="2E1D4CB6">
            <wp:extent cx="4885284" cy="2547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51" cy="2570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C2D" w:rsidRDefault="001A583D" w:rsidP="00FC5D10">
      <w:pPr>
        <w:jc w:val="center"/>
      </w:pPr>
      <w:r>
        <w:t>Figure. Spreadsheet calculations</w:t>
      </w:r>
    </w:p>
    <w:p w:rsidR="00DD3000" w:rsidRDefault="00DD3000" w:rsidP="00AB49FC">
      <w:pPr>
        <w:jc w:val="left"/>
      </w:pPr>
      <w:r>
        <w:t>Calculations are made from interval to interval</w:t>
      </w:r>
      <w:r w:rsidR="00EA1E6A">
        <w:t>,</w:t>
      </w:r>
      <w:r>
        <w:t xml:space="preserve"> along all the time intervals which will include those reported and those chosen by the data extractor. </w:t>
      </w:r>
      <w:r w:rsidR="00EA1E6A">
        <w:t xml:space="preserve">This differs from the case of KM curves with numbers at risk (see my next post) where numbers at risk ‘anchors’ the estimates at particular times. </w:t>
      </w:r>
    </w:p>
    <w:p w:rsidR="00DD3000" w:rsidRDefault="00DD3000" w:rsidP="00AB49FC">
      <w:pPr>
        <w:jc w:val="left"/>
      </w:pPr>
    </w:p>
    <w:p w:rsidR="002F73EC" w:rsidRDefault="00026495" w:rsidP="00056D84">
      <w:r w:rsidRPr="00026495">
        <w:t>In my trial example I estimated the follow</w:t>
      </w:r>
      <w:r w:rsidR="00D175B8">
        <w:t>-</w:t>
      </w:r>
      <w:r w:rsidRPr="00026495">
        <w:t>up range of 15 to 80 months. We’re dealing with months as blocks of time, so a minimum foll</w:t>
      </w:r>
      <w:bookmarkStart w:id="0" w:name="_GoBack"/>
      <w:bookmarkEnd w:id="0"/>
      <w:r w:rsidRPr="00026495">
        <w:t>ow</w:t>
      </w:r>
      <w:r w:rsidR="00D175B8">
        <w:t>-</w:t>
      </w:r>
      <w:r w:rsidRPr="00026495">
        <w:t xml:space="preserve">up of 15 months means that all patients had complete follow-up and no patients were censored up to the end of month 15, which is the end of the time </w:t>
      </w:r>
      <w:r w:rsidRPr="00026495">
        <w:lastRenderedPageBreak/>
        <w:t xml:space="preserve">interval 14-16 months. Censoring will occur from the beginning of month 16 onwards, starting in the interval 16-18. This is why I said </w:t>
      </w:r>
      <w:hyperlink r:id="rId11" w:history="1">
        <w:r w:rsidRPr="00026495">
          <w:rPr>
            <w:rStyle w:val="Hyperlink"/>
          </w:rPr>
          <w:t>previously</w:t>
        </w:r>
      </w:hyperlink>
      <w:r w:rsidRPr="00026495">
        <w:t xml:space="preserve"> that intervals should be chosen so that the assumed minimum follow-up period falls at the end of an interval.</w:t>
      </w:r>
    </w:p>
    <w:p w:rsidR="00026495" w:rsidRDefault="00026495" w:rsidP="00056D84"/>
    <w:p w:rsidR="002F73EC" w:rsidRDefault="00BB117E" w:rsidP="00056D84">
      <w:r>
        <w:t xml:space="preserve">I will look at </w:t>
      </w:r>
      <w:r w:rsidR="00465536">
        <w:t>16-</w:t>
      </w:r>
      <w:r w:rsidR="00562EDB">
        <w:t>1</w:t>
      </w:r>
      <w:r w:rsidR="00465536">
        <w:t>8</w:t>
      </w:r>
      <w:r>
        <w:t xml:space="preserve"> months</w:t>
      </w:r>
      <w:r w:rsidR="00A86F05">
        <w:t>,</w:t>
      </w:r>
      <w:r>
        <w:t xml:space="preserve"> so this will be the </w:t>
      </w:r>
      <w:r w:rsidRPr="00FA6882">
        <w:rPr>
          <w:b/>
        </w:rPr>
        <w:t>current</w:t>
      </w:r>
      <w:r>
        <w:t xml:space="preserve"> </w:t>
      </w:r>
      <w:r w:rsidRPr="00D24420">
        <w:rPr>
          <w:b/>
        </w:rPr>
        <w:t>interval</w:t>
      </w:r>
      <w:r>
        <w:t xml:space="preserve"> and </w:t>
      </w:r>
      <w:r w:rsidR="00465536">
        <w:t>14-16</w:t>
      </w:r>
      <w:r>
        <w:t xml:space="preserve"> months will be the </w:t>
      </w:r>
      <w:r w:rsidRPr="00FA6882">
        <w:rPr>
          <w:b/>
        </w:rPr>
        <w:t>prior</w:t>
      </w:r>
      <w:r>
        <w:t xml:space="preserve"> </w:t>
      </w:r>
      <w:r w:rsidRPr="00D24420">
        <w:rPr>
          <w:b/>
        </w:rPr>
        <w:t>interval</w:t>
      </w:r>
      <w:r>
        <w:t>.</w:t>
      </w:r>
      <w:r w:rsidR="002F73EC">
        <w:t xml:space="preserve"> </w:t>
      </w:r>
    </w:p>
    <w:p w:rsidR="00465536" w:rsidRDefault="00465536" w:rsidP="00056D84"/>
    <w:p w:rsidR="00D24420" w:rsidRDefault="00D24420" w:rsidP="00056D84">
      <w:r>
        <w:t xml:space="preserve">The equations for the prior interval are simpler to those in the current interval where censoring </w:t>
      </w:r>
      <w:r w:rsidR="003B09AB">
        <w:t>applies</w:t>
      </w:r>
      <w:r>
        <w:t xml:space="preserve">.  </w:t>
      </w:r>
    </w:p>
    <w:p w:rsidR="00D24420" w:rsidRDefault="00D24420" w:rsidP="00056D84"/>
    <w:p w:rsidR="00A86F05" w:rsidRPr="00A86F05" w:rsidRDefault="00A86F05" w:rsidP="00056D84">
      <w:pPr>
        <w:rPr>
          <w:b/>
        </w:rPr>
      </w:pPr>
      <w:r w:rsidRPr="00A86F05">
        <w:rPr>
          <w:b/>
        </w:rPr>
        <w:t>Equations for the prior interval (</w:t>
      </w:r>
      <w:r w:rsidR="00465536">
        <w:rPr>
          <w:b/>
        </w:rPr>
        <w:t>14-16</w:t>
      </w:r>
      <w:r w:rsidRPr="00A86F05">
        <w:rPr>
          <w:b/>
        </w:rPr>
        <w:t xml:space="preserve"> months)</w:t>
      </w:r>
    </w:p>
    <w:p w:rsidR="00A86F05" w:rsidRDefault="00A86F05" w:rsidP="00056D84"/>
    <w:p w:rsidR="00EA1E6A" w:rsidRDefault="00BD5548" w:rsidP="00EA1E6A">
      <w:r>
        <w:t xml:space="preserve">Numbers </w:t>
      </w:r>
      <w:r w:rsidR="00EB411B">
        <w:t>at risk</w:t>
      </w:r>
      <w:r>
        <w:t xml:space="preserve"> at the start of</w:t>
      </w:r>
      <w:r w:rsidR="00FA6882">
        <w:t xml:space="preserve"> the prior interval </w:t>
      </w:r>
      <w:r w:rsidR="00EA1E6A">
        <w:t>is</w:t>
      </w:r>
    </w:p>
    <w:p w:rsidR="00EA1E6A" w:rsidRPr="009923EC" w:rsidRDefault="00FA6882" w:rsidP="00EA1E6A">
      <w:pPr>
        <w:rPr>
          <w:rFonts w:eastAsiaTheme="minorEastAsia"/>
          <w:sz w:val="20"/>
          <w:szCs w:val="20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m:oMathPara>
        <m:oMath>
          <m:r>
            <w:rPr>
              <w:rFonts w:ascii="Cambria Math" w:hAnsi="Cambria Math"/>
              <w:sz w:val="20"/>
              <w:szCs w:val="20"/>
            </w:rPr>
            <m:t>Number randomised ×Survival % at start of prior</m:t>
          </m:r>
        </m:oMath>
      </m:oMathPara>
    </w:p>
    <w:p w:rsidR="00A86F05" w:rsidRDefault="00A86F05" w:rsidP="00056D84"/>
    <w:p w:rsidR="00BA5C0B" w:rsidRDefault="00025D32" w:rsidP="00056D84">
      <w:r>
        <w:t>i.e.</w:t>
      </w:r>
      <w:r w:rsidR="00D24420">
        <w:t xml:space="preserve"> </w:t>
      </w:r>
    </w:p>
    <w:p w:rsidR="00A86F05" w:rsidRDefault="00FA6882" w:rsidP="00056D84">
      <w:r>
        <w:t>356</w:t>
      </w:r>
      <w:r w:rsidR="00465536">
        <w:t xml:space="preserve"> x 0.80 = 284.8</w:t>
      </w:r>
      <w:r>
        <w:t xml:space="preserve"> in the research group</w:t>
      </w:r>
    </w:p>
    <w:p w:rsidR="00BD5548" w:rsidRDefault="00FA6882" w:rsidP="00056D84">
      <w:r>
        <w:t xml:space="preserve">360 </w:t>
      </w:r>
      <w:r w:rsidR="00465536">
        <w:t xml:space="preserve">x 0.75 = 270.0 </w:t>
      </w:r>
      <w:r>
        <w:t>in the control group.</w:t>
      </w:r>
    </w:p>
    <w:p w:rsidR="00A86F05" w:rsidRDefault="00A86F05" w:rsidP="00056D84"/>
    <w:p w:rsidR="00FA6882" w:rsidRDefault="00FA6882" w:rsidP="00056D84">
      <w:r>
        <w:t xml:space="preserve">Numbers censored during the prior interval is </w:t>
      </w:r>
      <w:r w:rsidR="002D57DD">
        <w:t>assumed to be zero</w:t>
      </w:r>
      <w:r>
        <w:t xml:space="preserve"> in both groups</w:t>
      </w:r>
    </w:p>
    <w:p w:rsidR="00A86F05" w:rsidRDefault="00A86F05" w:rsidP="00056D84"/>
    <w:p w:rsidR="00D24420" w:rsidRPr="00D24420" w:rsidRDefault="00FA6882" w:rsidP="00056D84">
      <w:pPr>
        <w:rPr>
          <w:rFonts w:eastAsiaTheme="minorEastAsia"/>
        </w:rPr>
      </w:pPr>
      <w:r>
        <w:t xml:space="preserve">Numbers of events in the prior interval is </w:t>
      </w:r>
    </w:p>
    <w:p w:rsidR="00FA6882" w:rsidRPr="009923EC" w:rsidRDefault="00D24420" w:rsidP="00D24420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Number randomised ×(Survival % at start of prior- Survival % at end of prior )</m:t>
          </m:r>
        </m:oMath>
      </m:oMathPara>
    </w:p>
    <w:p w:rsidR="00BA5C0B" w:rsidRDefault="00025D32" w:rsidP="00056D84">
      <w:r>
        <w:t>i.e.</w:t>
      </w:r>
      <w:r w:rsidR="00D24420">
        <w:t xml:space="preserve"> </w:t>
      </w:r>
    </w:p>
    <w:p w:rsidR="00FA6882" w:rsidRDefault="007177E2" w:rsidP="00056D84">
      <w:r>
        <w:t>356</w:t>
      </w:r>
      <w:r w:rsidR="00D24420">
        <w:t xml:space="preserve"> x </w:t>
      </w:r>
      <w:r w:rsidR="009923EC">
        <w:t>(</w:t>
      </w:r>
      <w:r w:rsidR="00465536">
        <w:t>0.80</w:t>
      </w:r>
      <w:r w:rsidR="009923EC">
        <w:t xml:space="preserve"> – </w:t>
      </w:r>
      <w:r w:rsidR="00D24420">
        <w:t>0.</w:t>
      </w:r>
      <w:r w:rsidR="00465536">
        <w:t>7</w:t>
      </w:r>
      <w:r w:rsidR="00D24420">
        <w:t>8</w:t>
      </w:r>
      <w:r w:rsidR="009923EC">
        <w:t>)</w:t>
      </w:r>
      <w:r w:rsidR="00D24420">
        <w:t xml:space="preserve"> = </w:t>
      </w:r>
      <w:r>
        <w:t>7.12</w:t>
      </w:r>
      <w:r w:rsidR="00D24420">
        <w:t xml:space="preserve"> in the research group</w:t>
      </w:r>
    </w:p>
    <w:p w:rsidR="00D24420" w:rsidRDefault="007177E2" w:rsidP="00056D84">
      <w:r>
        <w:t>360</w:t>
      </w:r>
      <w:r w:rsidR="00D24420">
        <w:t xml:space="preserve"> x </w:t>
      </w:r>
      <w:r w:rsidR="009923EC">
        <w:t>(</w:t>
      </w:r>
      <w:r w:rsidR="00465536">
        <w:t>0.75</w:t>
      </w:r>
      <w:r w:rsidR="009923EC">
        <w:t xml:space="preserve"> – </w:t>
      </w:r>
      <w:r w:rsidR="00D24420">
        <w:t>0.</w:t>
      </w:r>
      <w:r w:rsidR="00465536">
        <w:t>73</w:t>
      </w:r>
      <w:r w:rsidR="009923EC">
        <w:t>)</w:t>
      </w:r>
      <w:r w:rsidR="00D24420">
        <w:t xml:space="preserve"> = </w:t>
      </w:r>
      <w:r>
        <w:t>7</w:t>
      </w:r>
      <w:r w:rsidR="00562EDB">
        <w:t>.</w:t>
      </w:r>
      <w:r>
        <w:t>20</w:t>
      </w:r>
      <w:r w:rsidR="00D24420">
        <w:t xml:space="preserve"> in the control group</w:t>
      </w:r>
    </w:p>
    <w:p w:rsidR="00BD5548" w:rsidRDefault="00BD5548" w:rsidP="00056D84">
      <w:r>
        <w:t xml:space="preserve"> </w:t>
      </w:r>
    </w:p>
    <w:p w:rsidR="00BD5548" w:rsidRPr="00A86F05" w:rsidRDefault="00A86F05" w:rsidP="00056D84">
      <w:pPr>
        <w:rPr>
          <w:b/>
        </w:rPr>
      </w:pPr>
      <w:r w:rsidRPr="00A86F05">
        <w:rPr>
          <w:b/>
        </w:rPr>
        <w:t>Equations for the current interval (</w:t>
      </w:r>
      <w:r w:rsidR="00562EDB">
        <w:rPr>
          <w:b/>
        </w:rPr>
        <w:t>16-18</w:t>
      </w:r>
      <w:r w:rsidRPr="00A86F05">
        <w:rPr>
          <w:b/>
        </w:rPr>
        <w:t xml:space="preserve"> months)</w:t>
      </w:r>
    </w:p>
    <w:p w:rsidR="00BD5548" w:rsidRDefault="00BD5548" w:rsidP="00056D84"/>
    <w:p w:rsidR="00BD5548" w:rsidRDefault="009F2755" w:rsidP="009F2755">
      <w:r>
        <w:t xml:space="preserve">Step 1: </w:t>
      </w:r>
      <w:r w:rsidR="00BD5548" w:rsidRPr="00BD5548">
        <w:t xml:space="preserve">Numbers </w:t>
      </w:r>
      <w:r w:rsidR="00EB411B">
        <w:t>at risk</w:t>
      </w:r>
      <w:r w:rsidR="00BD5548" w:rsidRPr="00BD5548">
        <w:t xml:space="preserve"> at the start of the current interval</w:t>
      </w:r>
    </w:p>
    <w:p w:rsidR="00A86F05" w:rsidRDefault="00A86F05" w:rsidP="00A86F05">
      <w:r>
        <w:t xml:space="preserve">These are the numbers </w:t>
      </w:r>
      <w:r w:rsidR="00EB411B">
        <w:t>at risk</w:t>
      </w:r>
      <w:r>
        <w:t xml:space="preserve"> at the end of the prior interval.</w:t>
      </w:r>
    </w:p>
    <w:p w:rsidR="00A86F05" w:rsidRPr="00BD5548" w:rsidRDefault="00A86F05" w:rsidP="00A86F05"/>
    <w:p w:rsidR="00BD5548" w:rsidRPr="00037D0B" w:rsidRDefault="00EB411B" w:rsidP="00BD5548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At risk at start of current= At risk at start of prior-Events in prior-Censored in prior</m:t>
          </m:r>
        </m:oMath>
      </m:oMathPara>
    </w:p>
    <w:p w:rsidR="00D54AB1" w:rsidRDefault="00025D32" w:rsidP="00BD5548">
      <w:r>
        <w:t>i.e.</w:t>
      </w:r>
    </w:p>
    <w:p w:rsidR="007F2D71" w:rsidRDefault="00562EDB" w:rsidP="00056D84">
      <w:r>
        <w:t>284.8</w:t>
      </w:r>
      <w:r w:rsidR="009923EC">
        <w:t xml:space="preserve"> – </w:t>
      </w:r>
      <w:r w:rsidR="007177E2">
        <w:t>7.12</w:t>
      </w:r>
      <w:r w:rsidR="009923EC">
        <w:t xml:space="preserve"> – 0 = </w:t>
      </w:r>
      <w:r w:rsidR="007177E2">
        <w:t>277.68</w:t>
      </w:r>
      <w:r w:rsidR="009923EC">
        <w:t xml:space="preserve"> in the research group</w:t>
      </w:r>
    </w:p>
    <w:p w:rsidR="009923EC" w:rsidRDefault="00562EDB" w:rsidP="00056D84">
      <w:r>
        <w:t>270.0</w:t>
      </w:r>
      <w:r w:rsidR="009923EC">
        <w:t xml:space="preserve"> – </w:t>
      </w:r>
      <w:r w:rsidR="007177E2">
        <w:t>7.20</w:t>
      </w:r>
      <w:r w:rsidR="009923EC">
        <w:t xml:space="preserve"> – 0 = </w:t>
      </w:r>
      <w:r w:rsidR="007177E2">
        <w:t>262.80</w:t>
      </w:r>
      <w:r>
        <w:t xml:space="preserve"> </w:t>
      </w:r>
      <w:r w:rsidR="009923EC">
        <w:t>in the control group</w:t>
      </w:r>
    </w:p>
    <w:p w:rsidR="00D54AB1" w:rsidRDefault="00D54AB1" w:rsidP="00056D84"/>
    <w:p w:rsidR="005B149D" w:rsidRDefault="009F2755" w:rsidP="009F2755">
      <w:pPr>
        <w:pStyle w:val="ListParagraph"/>
        <w:ind w:left="0"/>
      </w:pPr>
      <w:r>
        <w:t xml:space="preserve">STEP 2: </w:t>
      </w:r>
      <w:r w:rsidR="005B149D">
        <w:t xml:space="preserve">Numbers of patients censored during the </w:t>
      </w:r>
      <w:r w:rsidR="00D54AB1">
        <w:t>current</w:t>
      </w:r>
      <w:r w:rsidR="003756DE">
        <w:t xml:space="preserve"> </w:t>
      </w:r>
      <w:r w:rsidR="005B149D">
        <w:t>interval</w:t>
      </w:r>
    </w:p>
    <w:p w:rsidR="00C32323" w:rsidRDefault="00037D0B" w:rsidP="00C32323">
      <w:r>
        <w:lastRenderedPageBreak/>
        <w:t>A</w:t>
      </w:r>
      <w:r w:rsidR="00A73F19">
        <w:t xml:space="preserve">ssuming non-informative </w:t>
      </w:r>
      <w:r>
        <w:t xml:space="preserve">censoring </w:t>
      </w:r>
      <w:r w:rsidR="00A73F19">
        <w:t>(patients drop out for reasons unrelated to the study and at random)</w:t>
      </w:r>
      <w:r w:rsidR="002F73EC">
        <w:t xml:space="preserve">, </w:t>
      </w:r>
      <w:r w:rsidR="00A73F19">
        <w:t>that censor</w:t>
      </w:r>
      <w:r>
        <w:t xml:space="preserve">ing occurs </w:t>
      </w:r>
      <w:r w:rsidR="00A73F19">
        <w:t xml:space="preserve">at a constant rate within a given time </w:t>
      </w:r>
      <w:r w:rsidR="002F73EC">
        <w:t xml:space="preserve">interval, </w:t>
      </w:r>
      <w:r w:rsidR="00684A6F">
        <w:t>and using</w:t>
      </w:r>
      <w:r>
        <w:t xml:space="preserve"> a simple estimate</w:t>
      </w:r>
      <w:r w:rsidR="00684A6F">
        <w:t xml:space="preserve"> based on similar triangles </w:t>
      </w:r>
      <w:r>
        <w:t xml:space="preserve">described in the appendix of </w:t>
      </w:r>
      <w:hyperlink r:id="rId12" w:history="1">
        <w:r>
          <w:rPr>
            <w:rStyle w:val="Hyperlink"/>
          </w:rPr>
          <w:t>Parmar et al</w:t>
        </w:r>
      </w:hyperlink>
      <w:r>
        <w:t xml:space="preserve"> </w:t>
      </w:r>
      <w:r w:rsidR="00A12CE7">
        <w:t xml:space="preserve"> (and which </w:t>
      </w:r>
      <w:r w:rsidR="009E588E">
        <w:t xml:space="preserve">also </w:t>
      </w:r>
      <w:r w:rsidR="00A12CE7">
        <w:t>shows the maths!):</w:t>
      </w:r>
    </w:p>
    <w:p w:rsidR="00D54AB1" w:rsidRPr="00037D0B" w:rsidRDefault="00C32323" w:rsidP="00C32323">
      <w:pPr>
        <w:jc w:val="center"/>
        <w:rPr>
          <w:sz w:val="20"/>
          <w:szCs w:val="20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Censored during current=</m:t>
        </m:r>
        <m:r>
          <w:rPr>
            <w:rFonts w:ascii="Cambria Math" w:hAnsi="Cambria Math"/>
            <w:sz w:val="20"/>
            <w:szCs w:val="20"/>
          </w:rPr>
          <m:t>At risk at start of current ×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End of interval-Start of interval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Maximum followup-Start of interval</m:t>
                </m:r>
              </m:den>
            </m:f>
          </m:e>
        </m:d>
      </m:oMath>
    </w:p>
    <w:p w:rsidR="00A73F19" w:rsidRDefault="00245ECE" w:rsidP="00A73F19">
      <w:r>
        <w:t xml:space="preserve"> </w:t>
      </w:r>
      <w:r w:rsidR="002F73EC">
        <w:t>i.e.</w:t>
      </w:r>
    </w:p>
    <w:p w:rsidR="002F73EC" w:rsidRDefault="00E3289C" w:rsidP="00A73F19">
      <w:r>
        <w:t>277.68</w:t>
      </w:r>
      <w:r w:rsidR="002F73EC">
        <w:t xml:space="preserve"> x 0.5 x (</w:t>
      </w:r>
      <w:r w:rsidR="0021155D">
        <w:t>18-16</w:t>
      </w:r>
      <w:r w:rsidR="002F73EC">
        <w:t>)</w:t>
      </w:r>
      <w:proofErr w:type="gramStart"/>
      <w:r w:rsidR="002F73EC">
        <w:t>/(</w:t>
      </w:r>
      <w:proofErr w:type="gramEnd"/>
      <w:r w:rsidR="002F73EC">
        <w:t>80-</w:t>
      </w:r>
      <w:r w:rsidR="0021155D">
        <w:t>16</w:t>
      </w:r>
      <w:r w:rsidR="002F73EC">
        <w:t xml:space="preserve">) = </w:t>
      </w:r>
      <w:r w:rsidR="0021155D">
        <w:t>4.</w:t>
      </w:r>
      <w:r>
        <w:t>34</w:t>
      </w:r>
      <w:r w:rsidR="002F73EC">
        <w:t xml:space="preserve">  in the research group</w:t>
      </w:r>
    </w:p>
    <w:p w:rsidR="002F73EC" w:rsidRDefault="00E3289C" w:rsidP="00A73F19">
      <w:r>
        <w:t>262.80</w:t>
      </w:r>
      <w:r w:rsidR="002F73EC">
        <w:t xml:space="preserve"> x 0.5 x (</w:t>
      </w:r>
      <w:r w:rsidR="0021155D">
        <w:t>18-16</w:t>
      </w:r>
      <w:r w:rsidR="002F73EC">
        <w:t>)</w:t>
      </w:r>
      <w:proofErr w:type="gramStart"/>
      <w:r w:rsidR="002F73EC">
        <w:t>/(</w:t>
      </w:r>
      <w:proofErr w:type="gramEnd"/>
      <w:r w:rsidR="002F73EC">
        <w:t>80-</w:t>
      </w:r>
      <w:r w:rsidR="0021155D">
        <w:t>16</w:t>
      </w:r>
      <w:r w:rsidR="002F73EC">
        <w:t xml:space="preserve">) = </w:t>
      </w:r>
      <w:r w:rsidR="0021155D">
        <w:t>4.1</w:t>
      </w:r>
      <w:r>
        <w:t>1</w:t>
      </w:r>
      <w:r w:rsidR="002F73EC">
        <w:t xml:space="preserve"> in the control group</w:t>
      </w:r>
    </w:p>
    <w:p w:rsidR="006F214C" w:rsidRDefault="006F214C" w:rsidP="009F2755"/>
    <w:p w:rsidR="005B149D" w:rsidRDefault="009F2755" w:rsidP="009F2755">
      <w:r>
        <w:t xml:space="preserve">STEP 3: </w:t>
      </w:r>
      <w:r w:rsidR="005B149D">
        <w:t xml:space="preserve">Numbers of patients at risk during the </w:t>
      </w:r>
      <w:r w:rsidR="00A73F19">
        <w:t>current</w:t>
      </w:r>
      <w:r w:rsidR="003756DE">
        <w:t xml:space="preserve"> </w:t>
      </w:r>
      <w:r w:rsidR="005B149D">
        <w:t>interval</w:t>
      </w:r>
      <w:r w:rsidR="00A73F19">
        <w:t>, adjusted for censoring</w:t>
      </w:r>
    </w:p>
    <w:p w:rsidR="00AB49FC" w:rsidRDefault="00B7146B" w:rsidP="00AB49FC">
      <w:r>
        <w:t>T</w:t>
      </w:r>
      <w:r w:rsidR="003162FB">
        <w:t xml:space="preserve">he estimated number of censored patients </w:t>
      </w:r>
      <w:r>
        <w:t xml:space="preserve">are removed </w:t>
      </w:r>
      <w:r w:rsidR="003162FB">
        <w:t xml:space="preserve">from those </w:t>
      </w:r>
      <w:r>
        <w:t>who are at risk a</w:t>
      </w:r>
      <w:r w:rsidR="003162FB">
        <w:t xml:space="preserve">t the start of the interval to calculate the </w:t>
      </w:r>
      <w:hyperlink r:id="rId13" w:history="1">
        <w:r w:rsidR="003162FB" w:rsidRPr="003162FB">
          <w:rPr>
            <w:rStyle w:val="Hyperlink"/>
          </w:rPr>
          <w:t>“effective</w:t>
        </w:r>
        <w:r w:rsidR="00AB49FC">
          <w:rPr>
            <w:rStyle w:val="Hyperlink"/>
          </w:rPr>
          <w:t>”</w:t>
        </w:r>
      </w:hyperlink>
      <w:r w:rsidR="00AB49FC" w:rsidRPr="00AB49FC">
        <w:t xml:space="preserve"> </w:t>
      </w:r>
      <w:r w:rsidR="00AB49FC">
        <w:t>numbers of patients at risk:</w:t>
      </w:r>
    </w:p>
    <w:p w:rsidR="00AB49FC" w:rsidRPr="00AB49FC" w:rsidRDefault="00AB49FC" w:rsidP="00AB49FC"/>
    <w:p w:rsidR="00A73F19" w:rsidRPr="00037D0B" w:rsidRDefault="00037D0B" w:rsidP="00A73F19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At risk, adjusted=At risk at start of current -censored in current</m:t>
          </m:r>
        </m:oMath>
      </m:oMathPara>
    </w:p>
    <w:p w:rsidR="009F2755" w:rsidRPr="00A719CC" w:rsidRDefault="009F2755" w:rsidP="008C1FD7">
      <w:pPr>
        <w:jc w:val="right"/>
        <w:rPr>
          <w:b/>
        </w:rPr>
      </w:pPr>
      <w:r>
        <w:rPr>
          <w:b/>
        </w:rPr>
        <w:t>e</w:t>
      </w:r>
      <w:r w:rsidRPr="00A719CC">
        <w:rPr>
          <w:b/>
        </w:rPr>
        <w:t>quation 1</w:t>
      </w:r>
    </w:p>
    <w:p w:rsidR="009F0FD0" w:rsidRDefault="002F73EC" w:rsidP="00A73F19">
      <w:r>
        <w:t xml:space="preserve">i.e. </w:t>
      </w:r>
    </w:p>
    <w:p w:rsidR="002F73EC" w:rsidRDefault="00E3289C" w:rsidP="00A73F19">
      <w:r>
        <w:t>277.68</w:t>
      </w:r>
      <w:r w:rsidR="000C528B">
        <w:t xml:space="preserve"> – </w:t>
      </w:r>
      <w:r>
        <w:t>4.34</w:t>
      </w:r>
      <w:r w:rsidR="002F73EC">
        <w:t xml:space="preserve"> = </w:t>
      </w:r>
      <w:r>
        <w:t>273.33</w:t>
      </w:r>
      <w:r w:rsidR="002F73EC">
        <w:t xml:space="preserve"> in the research group</w:t>
      </w:r>
    </w:p>
    <w:p w:rsidR="002F73EC" w:rsidRDefault="00E3289C" w:rsidP="00A73F19">
      <w:r>
        <w:t>262.80</w:t>
      </w:r>
      <w:r w:rsidR="000C528B">
        <w:t xml:space="preserve"> – </w:t>
      </w:r>
      <w:r>
        <w:t>4.11</w:t>
      </w:r>
      <w:r w:rsidR="000C528B">
        <w:t xml:space="preserve"> = </w:t>
      </w:r>
      <w:r>
        <w:t>258.69</w:t>
      </w:r>
      <w:r w:rsidR="0021155D">
        <w:t xml:space="preserve"> </w:t>
      </w:r>
      <w:r w:rsidR="000C528B">
        <w:t>in the control group</w:t>
      </w:r>
    </w:p>
    <w:p w:rsidR="000C528B" w:rsidRDefault="000C528B" w:rsidP="00A73F19"/>
    <w:p w:rsidR="005B149D" w:rsidRDefault="009F2755" w:rsidP="009F2755">
      <w:r>
        <w:t xml:space="preserve">STEP 4: </w:t>
      </w:r>
      <w:r w:rsidR="005B149D">
        <w:t>Numbers of patients with events during the current interval</w:t>
      </w:r>
    </w:p>
    <w:p w:rsidR="001F7A59" w:rsidRDefault="001F7A59" w:rsidP="001F7A59">
      <w:r>
        <w:t xml:space="preserve">A bit of maths (see below if you’re interested) shows that </w:t>
      </w:r>
    </w:p>
    <w:p w:rsidR="00037D0B" w:rsidRPr="001262E9" w:rsidRDefault="00037D0B" w:rsidP="00037D0B">
      <w:pPr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Events during current=At risk, adjusted×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Survival % at start of interval-Survival % at end of interval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Survival % at start of interval</m:t>
                  </m:r>
                </m:den>
              </m:f>
            </m:e>
          </m:d>
        </m:oMath>
      </m:oMathPara>
    </w:p>
    <w:p w:rsidR="00037D0B" w:rsidRPr="00A719CC" w:rsidRDefault="00A719CC" w:rsidP="008C1FD7">
      <w:pPr>
        <w:jc w:val="right"/>
        <w:rPr>
          <w:b/>
        </w:rPr>
      </w:pPr>
      <w:r>
        <w:rPr>
          <w:b/>
        </w:rPr>
        <w:t>e</w:t>
      </w:r>
      <w:r w:rsidRPr="00A719CC">
        <w:rPr>
          <w:b/>
        </w:rPr>
        <w:t xml:space="preserve">quation </w:t>
      </w:r>
      <w:r w:rsidR="009F2755">
        <w:rPr>
          <w:b/>
        </w:rPr>
        <w:t>2</w:t>
      </w:r>
    </w:p>
    <w:p w:rsidR="00037D0B" w:rsidRDefault="000C528B" w:rsidP="00037D0B">
      <w:r>
        <w:t>i.e.</w:t>
      </w:r>
    </w:p>
    <w:p w:rsidR="000C528B" w:rsidRDefault="00E3289C" w:rsidP="00037D0B">
      <w:r>
        <w:t>273.33</w:t>
      </w:r>
      <w:r w:rsidR="000C528B">
        <w:t xml:space="preserve"> x (0.</w:t>
      </w:r>
      <w:r w:rsidR="0021155D">
        <w:t>78</w:t>
      </w:r>
      <w:r w:rsidR="000C528B">
        <w:t xml:space="preserve"> – 0.</w:t>
      </w:r>
      <w:r w:rsidR="0021155D">
        <w:t>76</w:t>
      </w:r>
      <w:r w:rsidR="000C528B">
        <w:t>)/0.</w:t>
      </w:r>
      <w:r w:rsidR="0021155D">
        <w:t>7</w:t>
      </w:r>
      <w:r w:rsidR="000C528B">
        <w:t xml:space="preserve">8 = </w:t>
      </w:r>
      <w:r w:rsidR="001E71CD">
        <w:t>7.</w:t>
      </w:r>
      <w:r>
        <w:t>01</w:t>
      </w:r>
      <w:r w:rsidR="001E71CD">
        <w:t xml:space="preserve"> </w:t>
      </w:r>
      <w:r w:rsidR="000C528B">
        <w:t>in the research group</w:t>
      </w:r>
    </w:p>
    <w:p w:rsidR="000C528B" w:rsidRDefault="00E3289C" w:rsidP="00037D0B">
      <w:r>
        <w:t>258.69</w:t>
      </w:r>
      <w:r w:rsidR="000C528B">
        <w:t xml:space="preserve"> x (0.</w:t>
      </w:r>
      <w:r w:rsidR="001E71CD">
        <w:t>73</w:t>
      </w:r>
      <w:r w:rsidR="000C528B">
        <w:t xml:space="preserve"> – 0.</w:t>
      </w:r>
      <w:r w:rsidR="001E71CD">
        <w:t>69</w:t>
      </w:r>
      <w:r w:rsidR="000C528B">
        <w:t>)/0.</w:t>
      </w:r>
      <w:r w:rsidR="001E71CD">
        <w:t>73</w:t>
      </w:r>
      <w:r w:rsidR="000C528B">
        <w:t xml:space="preserve"> = </w:t>
      </w:r>
      <w:r>
        <w:t>14.17</w:t>
      </w:r>
      <w:r w:rsidR="001E71CD">
        <w:t xml:space="preserve"> </w:t>
      </w:r>
      <w:r w:rsidR="000C528B">
        <w:t>in the control group</w:t>
      </w:r>
    </w:p>
    <w:p w:rsidR="000C528B" w:rsidRDefault="000C528B" w:rsidP="00037D0B"/>
    <w:p w:rsidR="00DC7347" w:rsidRPr="001262E9" w:rsidRDefault="009F2755" w:rsidP="001262E9">
      <w:r>
        <w:t xml:space="preserve">STEP 5: </w:t>
      </w:r>
      <w:r w:rsidR="001262E9" w:rsidRPr="001262E9">
        <w:t>O-E, V and the HR for the current interval</w:t>
      </w:r>
    </w:p>
    <w:p w:rsidR="000A731B" w:rsidRDefault="001262E9" w:rsidP="00056D84">
      <w:r>
        <w:t>The HR is calculated as a relative risk as both time to event and censoring have been accounted for.</w:t>
      </w:r>
    </w:p>
    <w:p w:rsidR="001A583D" w:rsidRDefault="001A583D" w:rsidP="00056D84"/>
    <w:p w:rsidR="001A583D" w:rsidRPr="001F2B01" w:rsidRDefault="001262E9" w:rsidP="00056D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HR=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Events for research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At risk, adjusted for research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Events for control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At risk, adjusted for control</m:t>
                      </m:r>
                    </m:den>
                  </m:f>
                </m:den>
              </m:f>
            </m:e>
          </m:d>
        </m:oMath>
      </m:oMathPara>
    </w:p>
    <w:p w:rsidR="009A6CBA" w:rsidRDefault="000C528B" w:rsidP="009A6CBA">
      <w:r>
        <w:t>i.e.</w:t>
      </w:r>
    </w:p>
    <w:p w:rsidR="000C528B" w:rsidRDefault="00E3289C" w:rsidP="009A6CBA">
      <w:r>
        <w:t>7.01</w:t>
      </w:r>
      <w:r w:rsidR="000C528B">
        <w:t>/</w:t>
      </w:r>
      <w:r>
        <w:t>273.33</w:t>
      </w:r>
      <w:r w:rsidR="000C528B">
        <w:t xml:space="preserve"> divided by </w:t>
      </w:r>
      <w:r w:rsidR="001E71CD">
        <w:t>14.</w:t>
      </w:r>
      <w:r>
        <w:t>17</w:t>
      </w:r>
      <w:r w:rsidR="000C528B">
        <w:t>/</w:t>
      </w:r>
      <w:r>
        <w:t>258.69</w:t>
      </w:r>
      <w:r w:rsidR="000C528B">
        <w:t xml:space="preserve"> = 0</w:t>
      </w:r>
      <w:r w:rsidR="001E71CD">
        <w:t>.4</w:t>
      </w:r>
      <w:r w:rsidR="00BB65EB">
        <w:t>68</w:t>
      </w:r>
      <w:r w:rsidR="000C528B">
        <w:t xml:space="preserve"> </w:t>
      </w:r>
    </w:p>
    <w:p w:rsidR="000C528B" w:rsidRDefault="000C528B" w:rsidP="009A6CBA"/>
    <w:p w:rsidR="009A6CBA" w:rsidRDefault="009A6CBA" w:rsidP="009A6CBA">
      <w:r>
        <w:t xml:space="preserve">A bit of maths (see below if you’re interested) shows that </w:t>
      </w:r>
    </w:p>
    <w:p w:rsidR="001A583D" w:rsidRPr="001414A0" w:rsidRDefault="001262E9" w:rsidP="00056D84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 control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control</m:t>
                      </m:r>
                    </m:den>
                  </m:f>
                </m:e>
              </m:d>
            </m:den>
          </m:f>
        </m:oMath>
      </m:oMathPara>
    </w:p>
    <w:p w:rsidR="00A719CC" w:rsidRPr="001F2B01" w:rsidRDefault="001F2B01" w:rsidP="001F2B01">
      <w:pPr>
        <w:jc w:val="right"/>
        <w:rPr>
          <w:b/>
          <w:szCs w:val="24"/>
        </w:rPr>
      </w:pPr>
      <w:r w:rsidRPr="001F2B01">
        <w:rPr>
          <w:b/>
          <w:szCs w:val="24"/>
        </w:rPr>
        <w:lastRenderedPageBreak/>
        <w:t>equation 3</w:t>
      </w:r>
    </w:p>
    <w:p w:rsidR="001E71CD" w:rsidRPr="001E71CD" w:rsidRDefault="000C528B" w:rsidP="000C528B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7.01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273.33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14.17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258.69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>=4.86</m:t>
          </m:r>
        </m:oMath>
      </m:oMathPara>
    </w:p>
    <w:p w:rsidR="000C528B" w:rsidRDefault="000C528B" w:rsidP="00056D84">
      <w:pPr>
        <w:rPr>
          <w:sz w:val="20"/>
          <w:szCs w:val="20"/>
        </w:rPr>
      </w:pPr>
    </w:p>
    <w:p w:rsidR="009A6CBA" w:rsidRDefault="009A6CBA" w:rsidP="00056D84">
      <w:pPr>
        <w:rPr>
          <w:szCs w:val="24"/>
        </w:rPr>
      </w:pPr>
      <w:r>
        <w:rPr>
          <w:szCs w:val="24"/>
        </w:rPr>
        <w:t>A direct method to calculate the HR is</w:t>
      </w:r>
    </w:p>
    <w:p w:rsidR="00D970DB" w:rsidRPr="009A6CBA" w:rsidRDefault="00D970DB" w:rsidP="00056D84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HR=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exp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O-E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⁡</m:t>
          </m:r>
        </m:oMath>
      </m:oMathPara>
    </w:p>
    <w:p w:rsidR="009A6CBA" w:rsidRPr="001277B5" w:rsidRDefault="009C796F" w:rsidP="00056D84">
      <w:pPr>
        <w:rPr>
          <w:szCs w:val="24"/>
        </w:rPr>
      </w:pPr>
      <w:r>
        <w:rPr>
          <w:szCs w:val="24"/>
        </w:rPr>
        <w:t xml:space="preserve">Taking </w:t>
      </w:r>
      <w:r w:rsidR="006505D4">
        <w:rPr>
          <w:szCs w:val="24"/>
        </w:rPr>
        <w:t xml:space="preserve">natural </w:t>
      </w:r>
      <w:hyperlink r:id="rId14" w:history="1">
        <w:r w:rsidRPr="001E0FD3">
          <w:rPr>
            <w:rStyle w:val="Hyperlink"/>
            <w:szCs w:val="24"/>
          </w:rPr>
          <w:t>logs</w:t>
        </w:r>
      </w:hyperlink>
      <w:r>
        <w:rPr>
          <w:szCs w:val="24"/>
        </w:rPr>
        <w:t xml:space="preserve"> of both sides and r</w:t>
      </w:r>
      <w:r w:rsidR="001277B5">
        <w:rPr>
          <w:szCs w:val="24"/>
        </w:rPr>
        <w:t>earranging gives</w:t>
      </w:r>
      <w:r w:rsidR="001277B5" w:rsidRPr="001277B5">
        <w:rPr>
          <w:szCs w:val="24"/>
        </w:rPr>
        <w:t xml:space="preserve"> </w:t>
      </w:r>
    </w:p>
    <w:p w:rsidR="008C1FD7" w:rsidRDefault="00F761C4" w:rsidP="008C1FD7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O-E=ln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HR</m:t>
            </m:r>
          </m:e>
        </m:d>
        <m:r>
          <w:rPr>
            <w:rFonts w:ascii="Cambria Math" w:hAnsi="Cambria Math"/>
          </w:rPr>
          <m:t xml:space="preserve"> × V</m:t>
        </m:r>
      </m:oMath>
      <w:r w:rsidR="008C1FD7">
        <w:rPr>
          <w:rFonts w:eastAsiaTheme="minorEastAsia"/>
        </w:rPr>
        <w:t xml:space="preserve"> </w:t>
      </w:r>
    </w:p>
    <w:p w:rsidR="00684A6F" w:rsidRDefault="000C528B" w:rsidP="00C94A37">
      <w:pPr>
        <w:rPr>
          <w:rFonts w:eastAsiaTheme="minorEastAsia"/>
        </w:rPr>
      </w:pPr>
      <w:proofErr w:type="spellStart"/>
      <w:r>
        <w:rPr>
          <w:rFonts w:eastAsiaTheme="minorEastAsia"/>
        </w:rPr>
        <w:t>i.e</w:t>
      </w:r>
      <w:proofErr w:type="spellEnd"/>
    </w:p>
    <w:p w:rsidR="000C528B" w:rsidRDefault="001E71CD" w:rsidP="00C94A37">
      <w:pPr>
        <w:rPr>
          <w:rFonts w:eastAsiaTheme="minorEastAsia"/>
        </w:rPr>
      </w:pPr>
      <w:proofErr w:type="gramStart"/>
      <w:r>
        <w:rPr>
          <w:rFonts w:eastAsiaTheme="minorEastAsia"/>
        </w:rPr>
        <w:t>ln(</w:t>
      </w:r>
      <w:proofErr w:type="gramEnd"/>
      <w:r>
        <w:rPr>
          <w:rFonts w:eastAsiaTheme="minorEastAsia"/>
        </w:rPr>
        <w:t>0.4</w:t>
      </w:r>
      <w:r w:rsidR="00BB65EB">
        <w:rPr>
          <w:rFonts w:eastAsiaTheme="minorEastAsia"/>
        </w:rPr>
        <w:t>68</w:t>
      </w:r>
      <w:r w:rsidR="0006601D">
        <w:rPr>
          <w:rFonts w:eastAsiaTheme="minorEastAsia"/>
        </w:rPr>
        <w:t xml:space="preserve">) x </w:t>
      </w:r>
      <w:r>
        <w:rPr>
          <w:rFonts w:eastAsiaTheme="minorEastAsia"/>
        </w:rPr>
        <w:t>4.</w:t>
      </w:r>
      <w:r w:rsidR="007511FF">
        <w:rPr>
          <w:rFonts w:eastAsiaTheme="minorEastAsia"/>
        </w:rPr>
        <w:t>86</w:t>
      </w:r>
      <w:r w:rsidR="0006601D">
        <w:rPr>
          <w:rFonts w:eastAsiaTheme="minorEastAsia"/>
        </w:rPr>
        <w:t xml:space="preserve"> = -3.</w:t>
      </w:r>
      <w:r w:rsidR="007511FF">
        <w:rPr>
          <w:rFonts w:eastAsiaTheme="minorEastAsia"/>
        </w:rPr>
        <w:t>69</w:t>
      </w:r>
    </w:p>
    <w:p w:rsidR="0006601D" w:rsidRDefault="0006601D" w:rsidP="00C94A37">
      <w:pPr>
        <w:rPr>
          <w:rFonts w:eastAsiaTheme="minorEastAsia"/>
        </w:rPr>
      </w:pPr>
    </w:p>
    <w:p w:rsidR="001414A0" w:rsidRPr="008C1FD7" w:rsidRDefault="008C1FD7" w:rsidP="008C1FD7">
      <w:pPr>
        <w:rPr>
          <w:rFonts w:eastAsiaTheme="minorEastAsia"/>
        </w:rPr>
      </w:pPr>
      <w:r>
        <w:rPr>
          <w:rFonts w:eastAsiaTheme="minorEastAsia"/>
        </w:rPr>
        <w:t xml:space="preserve">STEP 6: </w:t>
      </w:r>
      <w:r w:rsidR="001414A0" w:rsidRPr="008C1FD7">
        <w:rPr>
          <w:rFonts w:eastAsiaTheme="minorEastAsia"/>
        </w:rPr>
        <w:t>O-E, V and the HR for the whole survival curve.</w:t>
      </w:r>
    </w:p>
    <w:p w:rsidR="001414A0" w:rsidRDefault="001414A0" w:rsidP="00C94A37"/>
    <w:p w:rsidR="001414A0" w:rsidRDefault="00C75CD2" w:rsidP="00C94A37">
      <w:r>
        <w:t>Accounting for all intervals</w:t>
      </w:r>
      <w:r w:rsidR="00684A6F">
        <w:t>,</w:t>
      </w:r>
      <w:r>
        <w:t xml:space="preserve"> the HR for the whole curve is </w:t>
      </w:r>
      <w:hyperlink r:id="rId15" w:history="1">
        <w:r w:rsidRPr="00684A6F">
          <w:rPr>
            <w:rStyle w:val="Hyperlink"/>
          </w:rPr>
          <w:t>calculated</w:t>
        </w:r>
      </w:hyperlink>
      <w:r>
        <w:t xml:space="preserve"> </w:t>
      </w:r>
    </w:p>
    <w:p w:rsidR="00FA1ABA" w:rsidRDefault="006505D4" w:rsidP="00C94A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HR=</m:t>
          </m:r>
          <m:r>
            <m:rPr>
              <m:sty m:val="p"/>
            </m:rP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nary>
                </m:den>
              </m:f>
            </m:e>
          </m:d>
        </m:oMath>
      </m:oMathPara>
    </w:p>
    <w:p w:rsidR="00C75CD2" w:rsidRDefault="00FA1ABA" w:rsidP="00C94A37">
      <w:pPr>
        <w:rPr>
          <w:rFonts w:eastAsiaTheme="minorEastAsia"/>
        </w:rPr>
      </w:pPr>
      <w:r>
        <w:rPr>
          <w:rFonts w:eastAsiaTheme="minorEastAsia"/>
        </w:rPr>
        <w:t>i.e.</w:t>
      </w:r>
    </w:p>
    <w:p w:rsidR="00FA1ABA" w:rsidRPr="00526E08" w:rsidRDefault="00FA1ABA" w:rsidP="00C94A37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=exp⁡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-1.67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-1.99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1.63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-5.50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-0.26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-2.29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-0.24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-3.69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 etc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1.81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2.41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10.34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2.43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9.64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5.57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8.41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3.67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4.86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+etc</m:t>
                  </m:r>
                </m:den>
              </m:f>
            </m:e>
          </m:d>
        </m:oMath>
      </m:oMathPara>
    </w:p>
    <w:p w:rsidR="00FA1ABA" w:rsidRDefault="00FA1ABA" w:rsidP="00C94A3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=exp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-23.47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94.02</m:t>
                  </m:r>
                </m:den>
              </m:f>
            </m:e>
          </m:d>
        </m:oMath>
      </m:oMathPara>
    </w:p>
    <w:p w:rsidR="00C75CD2" w:rsidRPr="006162AD" w:rsidRDefault="006162AD" w:rsidP="00C94A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=0.78</m:t>
          </m:r>
        </m:oMath>
      </m:oMathPara>
    </w:p>
    <w:p w:rsidR="006162AD" w:rsidRDefault="006162AD" w:rsidP="00C94A37">
      <w:pPr>
        <w:rPr>
          <w:rFonts w:eastAsiaTheme="minorEastAsia"/>
        </w:rPr>
      </w:pPr>
      <w:r>
        <w:rPr>
          <w:rFonts w:eastAsiaTheme="minorEastAsia"/>
        </w:rPr>
        <w:t xml:space="preserve">With V = </w:t>
      </w:r>
      <w:r w:rsidR="00E97D1A">
        <w:rPr>
          <w:rFonts w:eastAsiaTheme="minorEastAsia"/>
        </w:rPr>
        <w:t>94.02</w:t>
      </w:r>
      <w:r w:rsidR="00EA1E6A">
        <w:rPr>
          <w:rFonts w:eastAsiaTheme="minorEastAsia"/>
        </w:rPr>
        <w:t>, O-E = -23.47</w:t>
      </w:r>
      <w:r>
        <w:rPr>
          <w:rFonts w:eastAsiaTheme="minorEastAsia"/>
        </w:rPr>
        <w:t xml:space="preserve"> and 95% CI </w:t>
      </w:r>
      <w:r w:rsidR="00EA1E6A">
        <w:rPr>
          <w:rFonts w:eastAsiaTheme="minorEastAsia"/>
        </w:rPr>
        <w:t xml:space="preserve">of the HR is </w:t>
      </w:r>
      <w:r>
        <w:rPr>
          <w:rFonts w:eastAsiaTheme="minorEastAsia"/>
        </w:rPr>
        <w:t>0.64 to 0.9</w:t>
      </w:r>
      <w:r w:rsidR="007511FF">
        <w:rPr>
          <w:rFonts w:eastAsiaTheme="minorEastAsia"/>
        </w:rPr>
        <w:t>5</w:t>
      </w:r>
      <w:r>
        <w:rPr>
          <w:rFonts w:eastAsiaTheme="minorEastAsia"/>
        </w:rPr>
        <w:t>.</w:t>
      </w:r>
    </w:p>
    <w:p w:rsidR="006162AD" w:rsidRDefault="006162AD" w:rsidP="00C94A37"/>
    <w:p w:rsidR="00DC7347" w:rsidRDefault="00DC7347" w:rsidP="00C94A37"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BCF0" wp14:editId="34232DA9">
                <wp:simplePos x="0" y="0"/>
                <wp:positionH relativeFrom="margin">
                  <wp:posOffset>1076325</wp:posOffset>
                </wp:positionH>
                <wp:positionV relativeFrom="paragraph">
                  <wp:posOffset>69215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3F7" w:rsidRDefault="00FA13F7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</w:t>
                            </w:r>
                          </w:p>
                          <w:p w:rsidR="00FA13F7" w:rsidRDefault="00FA13F7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You can calculate a hazard ratio from a survival curve reported with follow-up information</w:t>
                            </w:r>
                            <w:r w:rsidR="00EA1E6A">
                              <w:rPr>
                                <w:i/>
                                <w:color w:val="000000" w:themeColor="text1"/>
                              </w:rPr>
                              <w:t xml:space="preserve"> but make sure, when extracting curve data, that the minimum </w:t>
                            </w:r>
                            <w:proofErr w:type="spellStart"/>
                            <w:r w:rsidR="00EA1E6A">
                              <w:rPr>
                                <w:i/>
                                <w:color w:val="000000" w:themeColor="text1"/>
                              </w:rPr>
                              <w:t>followup</w:t>
                            </w:r>
                            <w:proofErr w:type="spellEnd"/>
                            <w:r w:rsidR="00EA1E6A">
                              <w:rPr>
                                <w:i/>
                                <w:color w:val="000000" w:themeColor="text1"/>
                              </w:rPr>
                              <w:t xml:space="preserve"> time lies at the end of an interval.</w:t>
                            </w:r>
                          </w:p>
                          <w:p w:rsidR="00FA13F7" w:rsidRDefault="00FA13F7" w:rsidP="00065A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BCF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84.75pt;margin-top:5.45pt;width:247.2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" fillcolor="#f8cbad" strokecolor="#41719c" strokeweight="1pt">
                <v:stroke joinstyle="miter"/>
                <v:textbox>
                  <w:txbxContent>
                    <w:p w:rsidR="00FA13F7" w:rsidRDefault="00FA13F7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</w:t>
                      </w:r>
                    </w:p>
                    <w:p w:rsidR="00FA13F7" w:rsidRDefault="00FA13F7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You can calculate a hazard ratio from a survival curve reported with follow-up information</w:t>
                      </w:r>
                      <w:r w:rsidR="00EA1E6A">
                        <w:rPr>
                          <w:i/>
                          <w:color w:val="000000" w:themeColor="text1"/>
                        </w:rPr>
                        <w:t xml:space="preserve"> but make sure, when extracting curve data, that the minimum </w:t>
                      </w:r>
                      <w:proofErr w:type="spellStart"/>
                      <w:r w:rsidR="00EA1E6A">
                        <w:rPr>
                          <w:i/>
                          <w:color w:val="000000" w:themeColor="text1"/>
                        </w:rPr>
                        <w:t>followup</w:t>
                      </w:r>
                      <w:proofErr w:type="spellEnd"/>
                      <w:r w:rsidR="00EA1E6A">
                        <w:rPr>
                          <w:i/>
                          <w:color w:val="000000" w:themeColor="text1"/>
                        </w:rPr>
                        <w:t xml:space="preserve"> time lies at the end of an interval.</w:t>
                      </w:r>
                    </w:p>
                    <w:p w:rsidR="00FA13F7" w:rsidRDefault="00FA13F7" w:rsidP="00065A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347" w:rsidRDefault="00DC7347" w:rsidP="00C94A37"/>
    <w:p w:rsidR="00DC7347" w:rsidRDefault="00DC7347" w:rsidP="00C94A37"/>
    <w:p w:rsidR="00DC7347" w:rsidRDefault="00DC7347" w:rsidP="00C94A37"/>
    <w:p w:rsidR="00DC7347" w:rsidRDefault="00DC7347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Pr="00E21BD8" w:rsidRDefault="001E0FD3" w:rsidP="00E21BD8">
      <w:r>
        <w:t>I</w:t>
      </w:r>
      <w:r w:rsidR="00E21BD8">
        <w:t xml:space="preserve">n my next blog post, I’m going to look at the </w:t>
      </w:r>
      <w:r w:rsidR="00466561">
        <w:t xml:space="preserve">equations underlying the spreadsheet calculations </w:t>
      </w:r>
      <w:r w:rsidR="002F4EAE">
        <w:t xml:space="preserve">for </w:t>
      </w:r>
      <w:r w:rsidR="00466561">
        <w:t>estimat</w:t>
      </w:r>
      <w:r w:rsidR="002F4EAE">
        <w:t>ing</w:t>
      </w:r>
      <w:r w:rsidR="00466561">
        <w:t xml:space="preserve"> </w:t>
      </w:r>
      <w:r w:rsidR="00E21BD8">
        <w:t xml:space="preserve">a HR from </w:t>
      </w:r>
      <w:r w:rsidR="00E21BD8" w:rsidRPr="00E21BD8">
        <w:t xml:space="preserve">a Kaplan Meier curve reported </w:t>
      </w:r>
      <w:r w:rsidR="00E21BD8">
        <w:t xml:space="preserve">with </w:t>
      </w:r>
      <w:r w:rsidR="00056D84">
        <w:t>number</w:t>
      </w:r>
      <w:r w:rsidR="008076C7">
        <w:t>s</w:t>
      </w:r>
      <w:r w:rsidR="00056D84">
        <w:t xml:space="preserve"> of patients at risk</w:t>
      </w:r>
      <w:r w:rsidR="00E21BD8">
        <w:t>.</w:t>
      </w:r>
    </w:p>
    <w:p w:rsidR="00BA5C0B" w:rsidRDefault="00BA5C0B" w:rsidP="001E0FD3">
      <w:pPr>
        <w:rPr>
          <w:b/>
        </w:rPr>
      </w:pPr>
    </w:p>
    <w:p w:rsidR="001E0FD3" w:rsidRPr="001E0FD3" w:rsidRDefault="001E0FD3" w:rsidP="001E0FD3"/>
    <w:p w:rsidR="00684A6F" w:rsidRPr="00684A6F" w:rsidRDefault="00684A6F" w:rsidP="00684A6F">
      <w:pPr>
        <w:jc w:val="left"/>
        <w:rPr>
          <w:rFonts w:asciiTheme="majorHAnsi" w:eastAsiaTheme="majorEastAsia" w:hAnsiTheme="majorHAnsi" w:cstheme="majorBidi"/>
          <w:i/>
          <w:sz w:val="26"/>
          <w:szCs w:val="26"/>
        </w:rPr>
      </w:pPr>
      <w:r w:rsidRPr="00684A6F">
        <w:rPr>
          <w:rFonts w:asciiTheme="majorHAnsi" w:eastAsiaTheme="majorEastAsia" w:hAnsiTheme="majorHAnsi" w:cstheme="majorBidi"/>
          <w:i/>
          <w:sz w:val="26"/>
          <w:szCs w:val="26"/>
        </w:rPr>
        <w:t>Where did the equations come from?</w:t>
      </w:r>
    </w:p>
    <w:p w:rsidR="00684A6F" w:rsidRPr="00684A6F" w:rsidRDefault="00684A6F" w:rsidP="00684A6F">
      <w:pPr>
        <w:rPr>
          <w:sz w:val="20"/>
          <w:szCs w:val="20"/>
        </w:rPr>
      </w:pPr>
      <w:r w:rsidRPr="00684A6F">
        <w:rPr>
          <w:sz w:val="20"/>
          <w:szCs w:val="20"/>
        </w:rPr>
        <w:t>(You can skip this if you are only interested in carrying out the calculations)</w:t>
      </w:r>
    </w:p>
    <w:p w:rsidR="00D14147" w:rsidRDefault="00D14147" w:rsidP="00C94A37"/>
    <w:p w:rsidR="005A00DE" w:rsidRDefault="005A00DE" w:rsidP="005A00DE">
      <w:pPr>
        <w:rPr>
          <w:b/>
        </w:rPr>
      </w:pPr>
      <w:r w:rsidRPr="00A344AF">
        <w:rPr>
          <w:b/>
        </w:rPr>
        <w:t xml:space="preserve">To derive equation </w:t>
      </w:r>
      <w:r>
        <w:rPr>
          <w:b/>
        </w:rPr>
        <w:t>2:</w:t>
      </w:r>
      <w:r w:rsidRPr="00A344AF">
        <w:rPr>
          <w:b/>
        </w:rPr>
        <w:t xml:space="preserve"> </w:t>
      </w:r>
    </w:p>
    <w:p w:rsidR="005A00DE" w:rsidRDefault="005A00DE" w:rsidP="005A00DE">
      <w:pPr>
        <w:rPr>
          <w:b/>
        </w:rPr>
      </w:pPr>
    </w:p>
    <w:p w:rsidR="00E10C66" w:rsidRDefault="00B0327B" w:rsidP="00C94A37">
      <w:r>
        <w:t>I</w:t>
      </w:r>
      <w:r w:rsidR="003B09AB">
        <w:t>’ll</w:t>
      </w:r>
      <w:r>
        <w:t xml:space="preserve"> use shorter names of variables so the equations </w:t>
      </w:r>
      <w:r w:rsidR="00A12CE7">
        <w:t>fit</w:t>
      </w:r>
      <w:r>
        <w:t xml:space="preserve"> on </w:t>
      </w:r>
      <w:r w:rsidR="00A12CE7">
        <w:t xml:space="preserve">a </w:t>
      </w:r>
      <w:r>
        <w:t>single line</w:t>
      </w:r>
      <w:r w:rsidR="003B09AB">
        <w:t xml:space="preserve"> and only consider the equations for a single arm of a trial</w:t>
      </w:r>
      <w:r w:rsidR="00CE560C">
        <w:t xml:space="preserve"> to simplify the notation</w:t>
      </w:r>
      <w:r>
        <w:t>.</w:t>
      </w:r>
      <w:r w:rsidR="003B09AB">
        <w:t xml:space="preserve"> The same equations </w:t>
      </w:r>
      <w:r w:rsidR="00CE560C">
        <w:t xml:space="preserve">will </w:t>
      </w:r>
      <w:r w:rsidR="003B09AB">
        <w:t xml:space="preserve">apply to </w:t>
      </w:r>
      <w:r w:rsidR="001D2B27">
        <w:t>both treatment arms</w:t>
      </w:r>
      <w:r w:rsidR="003B09AB">
        <w:t>.</w:t>
      </w:r>
    </w:p>
    <w:p w:rsidR="00E21F15" w:rsidRDefault="00E21F15" w:rsidP="00C94A37"/>
    <w:p w:rsidR="00183F46" w:rsidRPr="00A344AF" w:rsidRDefault="00183F46" w:rsidP="00C94A37">
      <w:pPr>
        <w:rPr>
          <w:b/>
        </w:rPr>
      </w:pPr>
    </w:p>
    <w:p w:rsidR="00A719CC" w:rsidRDefault="003B09AB" w:rsidP="00C94A37">
      <w:r>
        <w:t>The</w:t>
      </w:r>
      <w:r w:rsidR="00A719CC">
        <w:t xml:space="preserve"> standard K</w:t>
      </w:r>
      <w:r w:rsidR="00AB49FC">
        <w:t>-M</w:t>
      </w:r>
      <w:r w:rsidR="00A719CC">
        <w:t xml:space="preserve"> limit formula is</w:t>
      </w:r>
    </w:p>
    <w:p w:rsidR="00A719CC" w:rsidRPr="00A719CC" w:rsidRDefault="00D175B8" w:rsidP="00A719CC">
      <w:pPr>
        <w:spacing w:after="200"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9F2755" w:rsidRDefault="009F2755" w:rsidP="00E843C9">
      <w:r>
        <w:rPr>
          <w:rFonts w:eastAsiaTheme="minorEastAsia"/>
        </w:rPr>
        <w:t>w</w:t>
      </w:r>
      <w:r w:rsidR="00A719CC">
        <w:rPr>
          <w:rFonts w:eastAsiaTheme="minorEastAsia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719C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are the survival (</w:t>
      </w:r>
      <w:r w:rsidR="00EB411B">
        <w:t>at risk</w:t>
      </w:r>
      <w:r w:rsidR="00A719CC">
        <w:t xml:space="preserve">) </w:t>
      </w:r>
      <w:r w:rsidR="00500D3B">
        <w:t>proportions</w:t>
      </w:r>
      <w:r w:rsidR="00A719CC">
        <w:t xml:space="preserve"> at </w:t>
      </w:r>
      <w:r w:rsidR="00500D3B">
        <w:t xml:space="preserve">the start of </w:t>
      </w:r>
      <w:r w:rsidR="00A719CC">
        <w:t xml:space="preserve">adjacent time-points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719C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 t</w:t>
      </w:r>
      <w:r w:rsidR="00A719CC">
        <w:rPr>
          <w:rFonts w:eastAsiaTheme="minorEastAsia"/>
        </w:rPr>
        <w:t>here are no events nor patients censored between these times,</w:t>
      </w:r>
      <w:r w:rsidR="00A719C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is the number at risk just before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rPr>
          <w:rFonts w:eastAsiaTheme="minorEastAsia"/>
        </w:rPr>
        <w:t xml:space="preserve">, </w:t>
      </w:r>
      <w:r w:rsidR="00A719CC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is the number of events </w:t>
      </w:r>
      <w:r w:rsidR="00A719CC" w:rsidRPr="00B0327B">
        <w:rPr>
          <w:u w:val="single"/>
        </w:rPr>
        <w:t>at</w:t>
      </w:r>
      <w:r w:rsidR="00A719CC">
        <w:t xml:space="preserve">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>.</w:t>
      </w:r>
      <w:r w:rsidR="00E21F15">
        <w:t xml:space="preserve"> </w:t>
      </w:r>
      <w:r w:rsidR="00E843C9">
        <w:t xml:space="preserve">As we are not observing events or censoring directly, </w:t>
      </w:r>
      <w:r w:rsidR="00DA2374">
        <w:t>t</w:t>
      </w:r>
      <w:r>
        <w:t>he equation becomes</w:t>
      </w:r>
    </w:p>
    <w:p w:rsidR="009F2755" w:rsidRPr="00500D3B" w:rsidRDefault="009F2755" w:rsidP="009F2755">
      <w:pPr>
        <w:spacing w:after="200" w:line="276" w:lineRule="auto"/>
        <w:rPr>
          <w:rFonts w:eastAsiaTheme="minorEastAsia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den>
              </m:f>
            </m:e>
          </m:d>
        </m:oMath>
      </m:oMathPara>
    </w:p>
    <w:p w:rsidR="00500D3B" w:rsidRPr="00500D3B" w:rsidRDefault="00500D3B" w:rsidP="008C1FD7">
      <w:pPr>
        <w:spacing w:after="200" w:line="276" w:lineRule="auto"/>
        <w:jc w:val="right"/>
        <w:rPr>
          <w:b/>
        </w:rPr>
      </w:pPr>
      <w:r w:rsidRPr="00500D3B">
        <w:rPr>
          <w:rFonts w:eastAsiaTheme="minorEastAsia"/>
          <w:b/>
        </w:rPr>
        <w:t>equation 5</w:t>
      </w:r>
    </w:p>
    <w:p w:rsidR="009F2755" w:rsidRDefault="009F2755" w:rsidP="009F2755">
      <w:pPr>
        <w:spacing w:after="200" w:line="276" w:lineRule="auto"/>
      </w:pPr>
      <w:r>
        <w:t xml:space="preserve">where the stars indicate that the quantities were </w:t>
      </w:r>
      <w:r w:rsidRPr="00B0327B">
        <w:t xml:space="preserve">not </w:t>
      </w:r>
      <w:r>
        <w:t xml:space="preserve">observed at time-points corresponding to changes in the risk set.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is the number of events </w:t>
      </w:r>
      <w:r w:rsidRPr="00B0327B">
        <w:rPr>
          <w:u w:val="single"/>
        </w:rPr>
        <w:t>since</w:t>
      </w:r>
      <w:r>
        <w:t xml:space="preserve">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the number censor</w:t>
      </w:r>
      <w:r w:rsidR="00B7146B">
        <w:t>ed</w:t>
      </w:r>
      <w:r>
        <w:t xml:space="preserve"> </w:t>
      </w:r>
      <w:r w:rsidRPr="00B0327B">
        <w:rPr>
          <w:u w:val="single"/>
        </w:rPr>
        <w:t xml:space="preserve">since </w:t>
      </w:r>
      <w:r>
        <w:t xml:space="preserve">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;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is now the number of patients at risk </w:t>
      </w:r>
      <w:r w:rsidRPr="00B0327B">
        <w:rPr>
          <w:u w:val="single"/>
        </w:rPr>
        <w:t xml:space="preserve">since </w:t>
      </w:r>
      <w:r>
        <w:t xml:space="preserve">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E6091">
        <w:t xml:space="preserve">, </w:t>
      </w:r>
      <w:r w:rsidR="00500D3B">
        <w:t>adjust</w:t>
      </w:r>
      <w:r w:rsidR="00A344AF">
        <w:t>ed</w:t>
      </w:r>
      <w:r w:rsidR="00500D3B">
        <w:t xml:space="preserve"> </w:t>
      </w:r>
      <w:r>
        <w:t>for censoring.</w:t>
      </w:r>
    </w:p>
    <w:p w:rsidR="00A719CC" w:rsidRDefault="00B7146B" w:rsidP="00B7146B">
      <w:pPr>
        <w:spacing w:after="200" w:line="276" w:lineRule="auto"/>
        <w:rPr>
          <w:rFonts w:eastAsiaTheme="minorEastAsia"/>
          <w:szCs w:val="24"/>
        </w:rPr>
      </w:pPr>
      <w:r>
        <w:t xml:space="preserve">Rearranging </w:t>
      </w:r>
      <w:r w:rsidR="00ED7C53">
        <w:t>equation 5</w:t>
      </w:r>
      <w:r>
        <w:t xml:space="preserve"> becomes</w:t>
      </w:r>
      <w:r w:rsidR="00AF5254">
        <w:rPr>
          <w:rFonts w:eastAsiaTheme="minorEastAsia"/>
          <w:szCs w:val="24"/>
        </w:rPr>
        <w:t xml:space="preserve"> </w:t>
      </w:r>
    </w:p>
    <w:p w:rsidR="009F2755" w:rsidRPr="00A719CC" w:rsidRDefault="00D175B8" w:rsidP="009F2755">
      <w:pPr>
        <w:spacing w:after="200" w:line="276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/>
              <w:sz w:val="18"/>
              <w:szCs w:val="18"/>
            </w:rPr>
            <m:t xml:space="preserve"> </m:t>
          </m:r>
          <m:r>
            <w:rPr>
              <w:rFonts w:ascii="Cambria Math" w:hAnsi="Cambria Math"/>
              <w:sz w:val="18"/>
              <w:szCs w:val="1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*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den>
              </m:f>
            </m:e>
          </m:d>
        </m:oMath>
      </m:oMathPara>
    </w:p>
    <w:p w:rsidR="00684A6F" w:rsidRDefault="001026B7" w:rsidP="00C94A37">
      <w:r>
        <w:t>which is equation 2.</w:t>
      </w:r>
    </w:p>
    <w:p w:rsidR="001026B7" w:rsidRDefault="001026B7" w:rsidP="00C94A37"/>
    <w:p w:rsidR="00684A6F" w:rsidRDefault="008C1FD7" w:rsidP="00C94A37">
      <w:pPr>
        <w:rPr>
          <w:b/>
        </w:rPr>
      </w:pPr>
      <w:r w:rsidRPr="008C1FD7">
        <w:rPr>
          <w:b/>
        </w:rPr>
        <w:t>To derive equation 3</w:t>
      </w:r>
      <w:r w:rsidR="005A00DE">
        <w:rPr>
          <w:b/>
        </w:rPr>
        <w:t>:</w:t>
      </w:r>
      <w:r w:rsidRPr="008C1FD7">
        <w:rPr>
          <w:b/>
        </w:rPr>
        <w:t xml:space="preserve"> </w:t>
      </w:r>
    </w:p>
    <w:p w:rsidR="00BA5C0B" w:rsidRPr="008C1FD7" w:rsidRDefault="00BA5C0B" w:rsidP="00C94A37">
      <w:pPr>
        <w:rPr>
          <w:b/>
        </w:rPr>
      </w:pPr>
    </w:p>
    <w:p w:rsidR="008C1FD7" w:rsidRDefault="001026B7" w:rsidP="00C94A37">
      <w:r>
        <w:t>As</w:t>
      </w:r>
      <w:r w:rsidR="009A6CBA">
        <w:t xml:space="preserve"> the HR can be calculated as a relative risk</w:t>
      </w:r>
      <w:r w:rsidR="00BA5C0B">
        <w:t>,</w:t>
      </w:r>
      <w:r w:rsidR="009A6CBA">
        <w:t xml:space="preserve"> we can use the formula for the </w:t>
      </w:r>
      <w:r w:rsidR="00BA5C0B">
        <w:t xml:space="preserve">standard error of the log relative risk, </w:t>
      </w:r>
      <w:proofErr w:type="gramStart"/>
      <w:r w:rsidR="009A6CBA">
        <w:t>SE(</w:t>
      </w:r>
      <w:proofErr w:type="gramEnd"/>
      <w:r w:rsidR="009A6CBA">
        <w:t xml:space="preserve">ln(RR)) i.e. </w:t>
      </w:r>
    </w:p>
    <w:p w:rsidR="009A6CBA" w:rsidRDefault="009A6CBA" w:rsidP="00C94A37"/>
    <w:p w:rsidR="009A6CBA" w:rsidRPr="00B7461C" w:rsidRDefault="009A6CBA" w:rsidP="009A6CBA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SE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HR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Events for research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At risk, adjusted research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Events for control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At risk, adjusted control</m:t>
                  </m:r>
                </m:den>
              </m:f>
            </m:e>
          </m:rad>
        </m:oMath>
      </m:oMathPara>
    </w:p>
    <w:p w:rsidR="009A6CBA" w:rsidRDefault="009A6CBA" w:rsidP="009A6CBA">
      <w:pPr>
        <w:rPr>
          <w:rFonts w:eastAsiaTheme="minorEastAsia"/>
        </w:rPr>
      </w:pPr>
    </w:p>
    <w:p w:rsidR="009A6CBA" w:rsidRDefault="009A6CBA" w:rsidP="009A6C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Variance of ln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HR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HR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9A6CBA" w:rsidRDefault="009A6CBA" w:rsidP="009A6C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den>
          </m:f>
        </m:oMath>
      </m:oMathPara>
    </w:p>
    <w:p w:rsidR="009A6CBA" w:rsidRDefault="009A6CBA" w:rsidP="009A6CBA">
      <w:pPr>
        <w:rPr>
          <w:rFonts w:eastAsiaTheme="minorEastAsia"/>
        </w:rPr>
      </w:pPr>
      <w:r>
        <w:rPr>
          <w:rFonts w:eastAsiaTheme="minorEastAsia"/>
        </w:rPr>
        <w:lastRenderedPageBreak/>
        <w:t>Therefore,</w:t>
      </w:r>
    </w:p>
    <w:p w:rsidR="009A6CBA" w:rsidRPr="001414A0" w:rsidRDefault="009A6CBA" w:rsidP="009A6CBA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 control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control</m:t>
                      </m:r>
                    </m:den>
                  </m:f>
                </m:e>
              </m:d>
            </m:den>
          </m:f>
        </m:oMath>
      </m:oMathPara>
    </w:p>
    <w:p w:rsidR="008C1FD7" w:rsidRDefault="008C1FD7" w:rsidP="00C94A37"/>
    <w:p w:rsidR="008C1FD7" w:rsidRDefault="008C1FD7" w:rsidP="00C94A37"/>
    <w:p w:rsidR="00F61465" w:rsidRDefault="00F61465" w:rsidP="00F61465">
      <w:pPr>
        <w:jc w:val="left"/>
        <w:rPr>
          <w:b/>
        </w:rPr>
      </w:pPr>
      <w:r>
        <w:rPr>
          <w:b/>
        </w:rPr>
        <w:t xml:space="preserve">Dr Kathy Taylor teaches data extraction in Meta-analysis, </w:t>
      </w:r>
      <w:hyperlink r:id="rId16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This is a short course that is also available as part of our MSc in Evidence-Based Health Care </w:t>
      </w:r>
    </w:p>
    <w:p w:rsidR="00F61465" w:rsidRDefault="00D175B8" w:rsidP="00F61465">
      <w:pPr>
        <w:jc w:val="left"/>
        <w:rPr>
          <w:b/>
        </w:rPr>
      </w:pPr>
      <w:hyperlink r:id="rId17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D175B8" w:rsidP="00F61465">
      <w:pPr>
        <w:jc w:val="left"/>
        <w:rPr>
          <w:b/>
        </w:rPr>
      </w:pPr>
      <w:hyperlink r:id="rId18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D175B8" w:rsidP="00F61465">
      <w:pPr>
        <w:jc w:val="left"/>
        <w:rPr>
          <w:b/>
        </w:rPr>
      </w:pPr>
      <w:hyperlink r:id="rId19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0F3DCD" w:rsidRDefault="00AB1331" w:rsidP="00E97E8D">
      <w:r w:rsidRPr="00AB1331">
        <w:rPr>
          <w:b/>
        </w:rPr>
        <w:t>Follow me on Twitter @</w:t>
      </w:r>
      <w:proofErr w:type="spellStart"/>
      <w:r w:rsidRPr="00AB1331">
        <w:rPr>
          <w:b/>
        </w:rPr>
        <w:t>dataextips</w:t>
      </w:r>
      <w:proofErr w:type="spellEnd"/>
      <w:r w:rsidRPr="00AB1331">
        <w:rPr>
          <w:b/>
        </w:rPr>
        <w:t xml:space="preserve"> for updates on my blog, related news, and to find out about other examples of statistics being made more broadly accessible.</w:t>
      </w:r>
    </w:p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761"/>
    <w:multiLevelType w:val="hybridMultilevel"/>
    <w:tmpl w:val="17F6B46A"/>
    <w:lvl w:ilvl="0" w:tplc="0C6CFC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397"/>
    <w:multiLevelType w:val="hybridMultilevel"/>
    <w:tmpl w:val="31CEF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070"/>
    <w:multiLevelType w:val="hybridMultilevel"/>
    <w:tmpl w:val="5306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220"/>
    <w:multiLevelType w:val="hybridMultilevel"/>
    <w:tmpl w:val="E7CE8B7C"/>
    <w:lvl w:ilvl="0" w:tplc="6C50D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6051"/>
    <w:multiLevelType w:val="hybridMultilevel"/>
    <w:tmpl w:val="B00A197E"/>
    <w:lvl w:ilvl="0" w:tplc="7180AB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2375866"/>
    <w:multiLevelType w:val="hybridMultilevel"/>
    <w:tmpl w:val="0404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7AE1"/>
    <w:multiLevelType w:val="hybridMultilevel"/>
    <w:tmpl w:val="918AF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9B5"/>
    <w:multiLevelType w:val="hybridMultilevel"/>
    <w:tmpl w:val="79368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525FC"/>
    <w:multiLevelType w:val="hybridMultilevel"/>
    <w:tmpl w:val="BE6A9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26324"/>
    <w:multiLevelType w:val="hybridMultilevel"/>
    <w:tmpl w:val="51ACA134"/>
    <w:lvl w:ilvl="0" w:tplc="C6DEC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44C"/>
    <w:multiLevelType w:val="hybridMultilevel"/>
    <w:tmpl w:val="02746AA8"/>
    <w:lvl w:ilvl="0" w:tplc="7180AB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296"/>
    <w:multiLevelType w:val="hybridMultilevel"/>
    <w:tmpl w:val="63C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664E"/>
    <w:multiLevelType w:val="hybridMultilevel"/>
    <w:tmpl w:val="EE5AA6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E1A44"/>
    <w:multiLevelType w:val="hybridMultilevel"/>
    <w:tmpl w:val="716E1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27352"/>
    <w:multiLevelType w:val="hybridMultilevel"/>
    <w:tmpl w:val="C7F46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0"/>
    <w:rsid w:val="00005DCF"/>
    <w:rsid w:val="00007277"/>
    <w:rsid w:val="0000797F"/>
    <w:rsid w:val="00010602"/>
    <w:rsid w:val="000166EB"/>
    <w:rsid w:val="00024A49"/>
    <w:rsid w:val="00025D32"/>
    <w:rsid w:val="00026495"/>
    <w:rsid w:val="00030E37"/>
    <w:rsid w:val="0003161B"/>
    <w:rsid w:val="00035860"/>
    <w:rsid w:val="00037D0B"/>
    <w:rsid w:val="00041E32"/>
    <w:rsid w:val="0004354A"/>
    <w:rsid w:val="0004465B"/>
    <w:rsid w:val="000502DA"/>
    <w:rsid w:val="00050B30"/>
    <w:rsid w:val="000523DB"/>
    <w:rsid w:val="00056D84"/>
    <w:rsid w:val="00061BC8"/>
    <w:rsid w:val="00062810"/>
    <w:rsid w:val="00065AB9"/>
    <w:rsid w:val="0006601D"/>
    <w:rsid w:val="00072AB2"/>
    <w:rsid w:val="00072FF1"/>
    <w:rsid w:val="00081903"/>
    <w:rsid w:val="000873ED"/>
    <w:rsid w:val="000875BC"/>
    <w:rsid w:val="00095DF1"/>
    <w:rsid w:val="000A31E7"/>
    <w:rsid w:val="000A6030"/>
    <w:rsid w:val="000A72C7"/>
    <w:rsid w:val="000A731B"/>
    <w:rsid w:val="000B061E"/>
    <w:rsid w:val="000B2B26"/>
    <w:rsid w:val="000B564A"/>
    <w:rsid w:val="000C0658"/>
    <w:rsid w:val="000C3186"/>
    <w:rsid w:val="000C528B"/>
    <w:rsid w:val="000C5427"/>
    <w:rsid w:val="000D08E4"/>
    <w:rsid w:val="000D1CF9"/>
    <w:rsid w:val="000D6955"/>
    <w:rsid w:val="000E1D35"/>
    <w:rsid w:val="000F327C"/>
    <w:rsid w:val="000F3DCD"/>
    <w:rsid w:val="001026B7"/>
    <w:rsid w:val="0011090E"/>
    <w:rsid w:val="001125AC"/>
    <w:rsid w:val="00112F97"/>
    <w:rsid w:val="001217CF"/>
    <w:rsid w:val="001262E9"/>
    <w:rsid w:val="001277B5"/>
    <w:rsid w:val="001308B0"/>
    <w:rsid w:val="00131C6D"/>
    <w:rsid w:val="0013591A"/>
    <w:rsid w:val="0013668A"/>
    <w:rsid w:val="00140A00"/>
    <w:rsid w:val="001414A0"/>
    <w:rsid w:val="00144D03"/>
    <w:rsid w:val="001475B0"/>
    <w:rsid w:val="00164538"/>
    <w:rsid w:val="00165841"/>
    <w:rsid w:val="00165953"/>
    <w:rsid w:val="001702A7"/>
    <w:rsid w:val="00171703"/>
    <w:rsid w:val="0017670D"/>
    <w:rsid w:val="00183F46"/>
    <w:rsid w:val="00183FFD"/>
    <w:rsid w:val="0018618F"/>
    <w:rsid w:val="00187D2F"/>
    <w:rsid w:val="00191078"/>
    <w:rsid w:val="00197F74"/>
    <w:rsid w:val="001A2BE8"/>
    <w:rsid w:val="001A5106"/>
    <w:rsid w:val="001A583D"/>
    <w:rsid w:val="001A75D3"/>
    <w:rsid w:val="001B07CF"/>
    <w:rsid w:val="001B37DD"/>
    <w:rsid w:val="001B45DE"/>
    <w:rsid w:val="001B54D2"/>
    <w:rsid w:val="001B563F"/>
    <w:rsid w:val="001B5AA9"/>
    <w:rsid w:val="001C0913"/>
    <w:rsid w:val="001C09D5"/>
    <w:rsid w:val="001C1D89"/>
    <w:rsid w:val="001C4A6A"/>
    <w:rsid w:val="001C731A"/>
    <w:rsid w:val="001D19F8"/>
    <w:rsid w:val="001D2705"/>
    <w:rsid w:val="001D2B27"/>
    <w:rsid w:val="001D30D1"/>
    <w:rsid w:val="001D7919"/>
    <w:rsid w:val="001E0DB4"/>
    <w:rsid w:val="001E0FD3"/>
    <w:rsid w:val="001E71CD"/>
    <w:rsid w:val="001F00A0"/>
    <w:rsid w:val="001F095B"/>
    <w:rsid w:val="001F2235"/>
    <w:rsid w:val="001F25CC"/>
    <w:rsid w:val="001F2B01"/>
    <w:rsid w:val="001F397C"/>
    <w:rsid w:val="001F7866"/>
    <w:rsid w:val="001F7A59"/>
    <w:rsid w:val="002008C2"/>
    <w:rsid w:val="0020157D"/>
    <w:rsid w:val="0020284E"/>
    <w:rsid w:val="0021155D"/>
    <w:rsid w:val="00212392"/>
    <w:rsid w:val="00216E95"/>
    <w:rsid w:val="0021794F"/>
    <w:rsid w:val="0022029A"/>
    <w:rsid w:val="00222B84"/>
    <w:rsid w:val="00226CC2"/>
    <w:rsid w:val="00245ECE"/>
    <w:rsid w:val="00247EFF"/>
    <w:rsid w:val="00250544"/>
    <w:rsid w:val="0027393E"/>
    <w:rsid w:val="00274D67"/>
    <w:rsid w:val="00283E44"/>
    <w:rsid w:val="00285A6D"/>
    <w:rsid w:val="002860CD"/>
    <w:rsid w:val="002922C3"/>
    <w:rsid w:val="00296359"/>
    <w:rsid w:val="002967CB"/>
    <w:rsid w:val="002A0714"/>
    <w:rsid w:val="002A18FE"/>
    <w:rsid w:val="002A3B34"/>
    <w:rsid w:val="002A4644"/>
    <w:rsid w:val="002A777A"/>
    <w:rsid w:val="002B05DD"/>
    <w:rsid w:val="002B640D"/>
    <w:rsid w:val="002B6D91"/>
    <w:rsid w:val="002C35B6"/>
    <w:rsid w:val="002D00A3"/>
    <w:rsid w:val="002D20F7"/>
    <w:rsid w:val="002D27D1"/>
    <w:rsid w:val="002D3704"/>
    <w:rsid w:val="002D50F2"/>
    <w:rsid w:val="002D5228"/>
    <w:rsid w:val="002D57DD"/>
    <w:rsid w:val="002E2506"/>
    <w:rsid w:val="002E4DD4"/>
    <w:rsid w:val="002E5A7E"/>
    <w:rsid w:val="002F1085"/>
    <w:rsid w:val="002F1FBB"/>
    <w:rsid w:val="002F4EAE"/>
    <w:rsid w:val="002F73EC"/>
    <w:rsid w:val="00302055"/>
    <w:rsid w:val="00305F0E"/>
    <w:rsid w:val="0031499C"/>
    <w:rsid w:val="003162FB"/>
    <w:rsid w:val="00316795"/>
    <w:rsid w:val="003169B9"/>
    <w:rsid w:val="00322064"/>
    <w:rsid w:val="003230C6"/>
    <w:rsid w:val="00325ADC"/>
    <w:rsid w:val="00326E04"/>
    <w:rsid w:val="00327771"/>
    <w:rsid w:val="00327AAA"/>
    <w:rsid w:val="00331DBD"/>
    <w:rsid w:val="00333909"/>
    <w:rsid w:val="003378D4"/>
    <w:rsid w:val="003463E4"/>
    <w:rsid w:val="00346A32"/>
    <w:rsid w:val="0035264A"/>
    <w:rsid w:val="00352BF0"/>
    <w:rsid w:val="003629B6"/>
    <w:rsid w:val="003714ED"/>
    <w:rsid w:val="0037154F"/>
    <w:rsid w:val="00371AC8"/>
    <w:rsid w:val="00371AF1"/>
    <w:rsid w:val="00372EAD"/>
    <w:rsid w:val="0037395B"/>
    <w:rsid w:val="003741E8"/>
    <w:rsid w:val="0037488E"/>
    <w:rsid w:val="003756DE"/>
    <w:rsid w:val="00375F9E"/>
    <w:rsid w:val="00376680"/>
    <w:rsid w:val="0039100C"/>
    <w:rsid w:val="0039219A"/>
    <w:rsid w:val="0039648E"/>
    <w:rsid w:val="003A0C28"/>
    <w:rsid w:val="003A6B09"/>
    <w:rsid w:val="003B09AB"/>
    <w:rsid w:val="003B340D"/>
    <w:rsid w:val="003B4968"/>
    <w:rsid w:val="003C14B3"/>
    <w:rsid w:val="003D14AE"/>
    <w:rsid w:val="003D47F3"/>
    <w:rsid w:val="003D5A94"/>
    <w:rsid w:val="003E240A"/>
    <w:rsid w:val="003E34A4"/>
    <w:rsid w:val="003E5601"/>
    <w:rsid w:val="003E68DD"/>
    <w:rsid w:val="003F3B5D"/>
    <w:rsid w:val="00402452"/>
    <w:rsid w:val="00403123"/>
    <w:rsid w:val="00405021"/>
    <w:rsid w:val="00412A76"/>
    <w:rsid w:val="0042573B"/>
    <w:rsid w:val="00430366"/>
    <w:rsid w:val="00430A6F"/>
    <w:rsid w:val="004342E0"/>
    <w:rsid w:val="00442D5B"/>
    <w:rsid w:val="00443AAC"/>
    <w:rsid w:val="004448E9"/>
    <w:rsid w:val="00455569"/>
    <w:rsid w:val="00455882"/>
    <w:rsid w:val="00465536"/>
    <w:rsid w:val="00466561"/>
    <w:rsid w:val="0046759A"/>
    <w:rsid w:val="00470492"/>
    <w:rsid w:val="00474C66"/>
    <w:rsid w:val="0047573C"/>
    <w:rsid w:val="0047759D"/>
    <w:rsid w:val="00477F28"/>
    <w:rsid w:val="00480965"/>
    <w:rsid w:val="00482557"/>
    <w:rsid w:val="00492259"/>
    <w:rsid w:val="004930C2"/>
    <w:rsid w:val="00496808"/>
    <w:rsid w:val="004A2803"/>
    <w:rsid w:val="004B06A1"/>
    <w:rsid w:val="004B404C"/>
    <w:rsid w:val="004B6831"/>
    <w:rsid w:val="004C04E1"/>
    <w:rsid w:val="004C3AAA"/>
    <w:rsid w:val="004C4709"/>
    <w:rsid w:val="004C65A1"/>
    <w:rsid w:val="004D561C"/>
    <w:rsid w:val="004E0CBB"/>
    <w:rsid w:val="004E32DC"/>
    <w:rsid w:val="004F5412"/>
    <w:rsid w:val="004F7602"/>
    <w:rsid w:val="004F7EA9"/>
    <w:rsid w:val="00500277"/>
    <w:rsid w:val="00500D3B"/>
    <w:rsid w:val="00510A34"/>
    <w:rsid w:val="00511305"/>
    <w:rsid w:val="005135D8"/>
    <w:rsid w:val="00514AB0"/>
    <w:rsid w:val="00514E60"/>
    <w:rsid w:val="00517F83"/>
    <w:rsid w:val="00523341"/>
    <w:rsid w:val="005248F0"/>
    <w:rsid w:val="005267FD"/>
    <w:rsid w:val="00526E08"/>
    <w:rsid w:val="00527ABA"/>
    <w:rsid w:val="00532FDC"/>
    <w:rsid w:val="00540B55"/>
    <w:rsid w:val="005446D3"/>
    <w:rsid w:val="005523EE"/>
    <w:rsid w:val="005566AB"/>
    <w:rsid w:val="005616A9"/>
    <w:rsid w:val="00562630"/>
    <w:rsid w:val="00562EDB"/>
    <w:rsid w:val="00566187"/>
    <w:rsid w:val="00567608"/>
    <w:rsid w:val="005742E7"/>
    <w:rsid w:val="00574A6C"/>
    <w:rsid w:val="00575FDF"/>
    <w:rsid w:val="00580CC5"/>
    <w:rsid w:val="00581F4D"/>
    <w:rsid w:val="00584992"/>
    <w:rsid w:val="00586C33"/>
    <w:rsid w:val="0059005A"/>
    <w:rsid w:val="0059269E"/>
    <w:rsid w:val="00594337"/>
    <w:rsid w:val="0059771F"/>
    <w:rsid w:val="005979A9"/>
    <w:rsid w:val="005A00DE"/>
    <w:rsid w:val="005B149D"/>
    <w:rsid w:val="005C1FAD"/>
    <w:rsid w:val="005C4BFF"/>
    <w:rsid w:val="005D01F7"/>
    <w:rsid w:val="005D4C2D"/>
    <w:rsid w:val="005D5D23"/>
    <w:rsid w:val="005D7C92"/>
    <w:rsid w:val="005E156D"/>
    <w:rsid w:val="005E3D36"/>
    <w:rsid w:val="005E647D"/>
    <w:rsid w:val="005E7D5C"/>
    <w:rsid w:val="005F0D8F"/>
    <w:rsid w:val="00601B4F"/>
    <w:rsid w:val="006041C7"/>
    <w:rsid w:val="0060455E"/>
    <w:rsid w:val="00604F45"/>
    <w:rsid w:val="00610D02"/>
    <w:rsid w:val="006162AD"/>
    <w:rsid w:val="00622C71"/>
    <w:rsid w:val="00623B6F"/>
    <w:rsid w:val="0063042C"/>
    <w:rsid w:val="00631529"/>
    <w:rsid w:val="00632A33"/>
    <w:rsid w:val="00633C28"/>
    <w:rsid w:val="00636A06"/>
    <w:rsid w:val="00640002"/>
    <w:rsid w:val="0064497F"/>
    <w:rsid w:val="00644AFB"/>
    <w:rsid w:val="006505D4"/>
    <w:rsid w:val="00660211"/>
    <w:rsid w:val="00662E2B"/>
    <w:rsid w:val="00664E79"/>
    <w:rsid w:val="00664EF0"/>
    <w:rsid w:val="0066578C"/>
    <w:rsid w:val="00670A0B"/>
    <w:rsid w:val="00670C56"/>
    <w:rsid w:val="006724E5"/>
    <w:rsid w:val="00683F04"/>
    <w:rsid w:val="006842AB"/>
    <w:rsid w:val="00684A6F"/>
    <w:rsid w:val="006873FE"/>
    <w:rsid w:val="00690B8B"/>
    <w:rsid w:val="00695E8A"/>
    <w:rsid w:val="00697D55"/>
    <w:rsid w:val="006A4B78"/>
    <w:rsid w:val="006A548C"/>
    <w:rsid w:val="006A5B31"/>
    <w:rsid w:val="006A7260"/>
    <w:rsid w:val="006B41EB"/>
    <w:rsid w:val="006B46CC"/>
    <w:rsid w:val="006B67B7"/>
    <w:rsid w:val="006B7AE4"/>
    <w:rsid w:val="006C0482"/>
    <w:rsid w:val="006C1360"/>
    <w:rsid w:val="006C37E2"/>
    <w:rsid w:val="006D5E66"/>
    <w:rsid w:val="006E198A"/>
    <w:rsid w:val="006E1FB0"/>
    <w:rsid w:val="006F214C"/>
    <w:rsid w:val="006F42E7"/>
    <w:rsid w:val="00701C19"/>
    <w:rsid w:val="00703E3B"/>
    <w:rsid w:val="0070544B"/>
    <w:rsid w:val="00706E57"/>
    <w:rsid w:val="007072BF"/>
    <w:rsid w:val="00707F90"/>
    <w:rsid w:val="0071198B"/>
    <w:rsid w:val="00715001"/>
    <w:rsid w:val="007177E2"/>
    <w:rsid w:val="00741062"/>
    <w:rsid w:val="007454BA"/>
    <w:rsid w:val="007511FF"/>
    <w:rsid w:val="007551F4"/>
    <w:rsid w:val="0076053F"/>
    <w:rsid w:val="0076324B"/>
    <w:rsid w:val="00767585"/>
    <w:rsid w:val="0077176A"/>
    <w:rsid w:val="00772FB5"/>
    <w:rsid w:val="007744C9"/>
    <w:rsid w:val="00782E0A"/>
    <w:rsid w:val="00786B52"/>
    <w:rsid w:val="00787B18"/>
    <w:rsid w:val="00787CB8"/>
    <w:rsid w:val="007964D5"/>
    <w:rsid w:val="00796E1A"/>
    <w:rsid w:val="007A3045"/>
    <w:rsid w:val="007C02D0"/>
    <w:rsid w:val="007C6129"/>
    <w:rsid w:val="007C7BAA"/>
    <w:rsid w:val="007D6359"/>
    <w:rsid w:val="007D70DB"/>
    <w:rsid w:val="007E61F6"/>
    <w:rsid w:val="007F169E"/>
    <w:rsid w:val="007F2D71"/>
    <w:rsid w:val="007F6A87"/>
    <w:rsid w:val="00801468"/>
    <w:rsid w:val="0080752B"/>
    <w:rsid w:val="008076C7"/>
    <w:rsid w:val="00814813"/>
    <w:rsid w:val="00814BC4"/>
    <w:rsid w:val="00821318"/>
    <w:rsid w:val="008226F8"/>
    <w:rsid w:val="00827254"/>
    <w:rsid w:val="0083438C"/>
    <w:rsid w:val="00836CDA"/>
    <w:rsid w:val="00840D98"/>
    <w:rsid w:val="00844F7A"/>
    <w:rsid w:val="00853090"/>
    <w:rsid w:val="008560A2"/>
    <w:rsid w:val="008611B6"/>
    <w:rsid w:val="00861366"/>
    <w:rsid w:val="0086289D"/>
    <w:rsid w:val="00874D4B"/>
    <w:rsid w:val="008758B4"/>
    <w:rsid w:val="00882410"/>
    <w:rsid w:val="00882B4D"/>
    <w:rsid w:val="00883905"/>
    <w:rsid w:val="0088688E"/>
    <w:rsid w:val="0089457C"/>
    <w:rsid w:val="00896393"/>
    <w:rsid w:val="00897922"/>
    <w:rsid w:val="008A2656"/>
    <w:rsid w:val="008A32A0"/>
    <w:rsid w:val="008A5B0D"/>
    <w:rsid w:val="008A740F"/>
    <w:rsid w:val="008B5F09"/>
    <w:rsid w:val="008C1FD7"/>
    <w:rsid w:val="008C287C"/>
    <w:rsid w:val="008D0632"/>
    <w:rsid w:val="008D0FB6"/>
    <w:rsid w:val="008E0990"/>
    <w:rsid w:val="008E576C"/>
    <w:rsid w:val="008E5910"/>
    <w:rsid w:val="008E5C97"/>
    <w:rsid w:val="008E6971"/>
    <w:rsid w:val="008F10D0"/>
    <w:rsid w:val="008F32F6"/>
    <w:rsid w:val="008F6E27"/>
    <w:rsid w:val="009145CA"/>
    <w:rsid w:val="009146EC"/>
    <w:rsid w:val="00915889"/>
    <w:rsid w:val="00917C3B"/>
    <w:rsid w:val="00917F45"/>
    <w:rsid w:val="009209B3"/>
    <w:rsid w:val="009211D8"/>
    <w:rsid w:val="0092354B"/>
    <w:rsid w:val="009302B0"/>
    <w:rsid w:val="00930913"/>
    <w:rsid w:val="009310A4"/>
    <w:rsid w:val="00934FD4"/>
    <w:rsid w:val="00937E60"/>
    <w:rsid w:val="0094343B"/>
    <w:rsid w:val="009436D5"/>
    <w:rsid w:val="0096160A"/>
    <w:rsid w:val="00965AC5"/>
    <w:rsid w:val="009761D3"/>
    <w:rsid w:val="009774F0"/>
    <w:rsid w:val="00982C01"/>
    <w:rsid w:val="00986BC5"/>
    <w:rsid w:val="009923EC"/>
    <w:rsid w:val="009930CE"/>
    <w:rsid w:val="00996711"/>
    <w:rsid w:val="009A003D"/>
    <w:rsid w:val="009A6CBA"/>
    <w:rsid w:val="009A7C2D"/>
    <w:rsid w:val="009B0CF7"/>
    <w:rsid w:val="009B285F"/>
    <w:rsid w:val="009B51FB"/>
    <w:rsid w:val="009C0E5C"/>
    <w:rsid w:val="009C1ADC"/>
    <w:rsid w:val="009C796F"/>
    <w:rsid w:val="009D403F"/>
    <w:rsid w:val="009D5879"/>
    <w:rsid w:val="009D6504"/>
    <w:rsid w:val="009E588E"/>
    <w:rsid w:val="009F0FD0"/>
    <w:rsid w:val="009F2755"/>
    <w:rsid w:val="009F3E2E"/>
    <w:rsid w:val="009F65AE"/>
    <w:rsid w:val="00A012BD"/>
    <w:rsid w:val="00A03DF9"/>
    <w:rsid w:val="00A072CF"/>
    <w:rsid w:val="00A100F5"/>
    <w:rsid w:val="00A11DEE"/>
    <w:rsid w:val="00A11E5C"/>
    <w:rsid w:val="00A12201"/>
    <w:rsid w:val="00A12CE7"/>
    <w:rsid w:val="00A26B83"/>
    <w:rsid w:val="00A2747B"/>
    <w:rsid w:val="00A27720"/>
    <w:rsid w:val="00A3120D"/>
    <w:rsid w:val="00A33749"/>
    <w:rsid w:val="00A344AF"/>
    <w:rsid w:val="00A3479B"/>
    <w:rsid w:val="00A37638"/>
    <w:rsid w:val="00A40425"/>
    <w:rsid w:val="00A44105"/>
    <w:rsid w:val="00A57852"/>
    <w:rsid w:val="00A632F6"/>
    <w:rsid w:val="00A7047B"/>
    <w:rsid w:val="00A71044"/>
    <w:rsid w:val="00A719CC"/>
    <w:rsid w:val="00A71B1D"/>
    <w:rsid w:val="00A73F19"/>
    <w:rsid w:val="00A77F55"/>
    <w:rsid w:val="00A8019C"/>
    <w:rsid w:val="00A86F05"/>
    <w:rsid w:val="00A97F28"/>
    <w:rsid w:val="00AA00C1"/>
    <w:rsid w:val="00AA4FD8"/>
    <w:rsid w:val="00AA7030"/>
    <w:rsid w:val="00AB1331"/>
    <w:rsid w:val="00AB49FC"/>
    <w:rsid w:val="00AB5271"/>
    <w:rsid w:val="00AC44B0"/>
    <w:rsid w:val="00AD1BFF"/>
    <w:rsid w:val="00AD4F2E"/>
    <w:rsid w:val="00AD7B22"/>
    <w:rsid w:val="00AE2912"/>
    <w:rsid w:val="00AE31FA"/>
    <w:rsid w:val="00AF243B"/>
    <w:rsid w:val="00AF3137"/>
    <w:rsid w:val="00AF3939"/>
    <w:rsid w:val="00AF4702"/>
    <w:rsid w:val="00AF5254"/>
    <w:rsid w:val="00B02D1A"/>
    <w:rsid w:val="00B0327B"/>
    <w:rsid w:val="00B032A4"/>
    <w:rsid w:val="00B10BDB"/>
    <w:rsid w:val="00B14221"/>
    <w:rsid w:val="00B158DA"/>
    <w:rsid w:val="00B17A4B"/>
    <w:rsid w:val="00B20E41"/>
    <w:rsid w:val="00B2191C"/>
    <w:rsid w:val="00B21D5A"/>
    <w:rsid w:val="00B2425A"/>
    <w:rsid w:val="00B2439B"/>
    <w:rsid w:val="00B25F97"/>
    <w:rsid w:val="00B26FD1"/>
    <w:rsid w:val="00B3000A"/>
    <w:rsid w:val="00B37EF9"/>
    <w:rsid w:val="00B44B53"/>
    <w:rsid w:val="00B51EBE"/>
    <w:rsid w:val="00B569F9"/>
    <w:rsid w:val="00B6234D"/>
    <w:rsid w:val="00B65BC8"/>
    <w:rsid w:val="00B66588"/>
    <w:rsid w:val="00B7146B"/>
    <w:rsid w:val="00B72C16"/>
    <w:rsid w:val="00B73C10"/>
    <w:rsid w:val="00B7461C"/>
    <w:rsid w:val="00B749EC"/>
    <w:rsid w:val="00B8097E"/>
    <w:rsid w:val="00B855F6"/>
    <w:rsid w:val="00B90A91"/>
    <w:rsid w:val="00B91A3F"/>
    <w:rsid w:val="00B95332"/>
    <w:rsid w:val="00BA28DE"/>
    <w:rsid w:val="00BA36A7"/>
    <w:rsid w:val="00BA5C0B"/>
    <w:rsid w:val="00BA6097"/>
    <w:rsid w:val="00BA76D0"/>
    <w:rsid w:val="00BB117E"/>
    <w:rsid w:val="00BB1647"/>
    <w:rsid w:val="00BB40B2"/>
    <w:rsid w:val="00BB65EB"/>
    <w:rsid w:val="00BB6B5C"/>
    <w:rsid w:val="00BB7888"/>
    <w:rsid w:val="00BC21C8"/>
    <w:rsid w:val="00BC2B4B"/>
    <w:rsid w:val="00BC53D2"/>
    <w:rsid w:val="00BD5548"/>
    <w:rsid w:val="00BD603D"/>
    <w:rsid w:val="00BD7E7E"/>
    <w:rsid w:val="00BE3E98"/>
    <w:rsid w:val="00BE5B2C"/>
    <w:rsid w:val="00BF4837"/>
    <w:rsid w:val="00BF79AC"/>
    <w:rsid w:val="00C063F0"/>
    <w:rsid w:val="00C162D3"/>
    <w:rsid w:val="00C22435"/>
    <w:rsid w:val="00C25A7D"/>
    <w:rsid w:val="00C269C0"/>
    <w:rsid w:val="00C32323"/>
    <w:rsid w:val="00C40145"/>
    <w:rsid w:val="00C408D1"/>
    <w:rsid w:val="00C47796"/>
    <w:rsid w:val="00C50BFC"/>
    <w:rsid w:val="00C5429B"/>
    <w:rsid w:val="00C56242"/>
    <w:rsid w:val="00C662CC"/>
    <w:rsid w:val="00C74642"/>
    <w:rsid w:val="00C75CD2"/>
    <w:rsid w:val="00C77D71"/>
    <w:rsid w:val="00C84333"/>
    <w:rsid w:val="00C859C9"/>
    <w:rsid w:val="00C9049C"/>
    <w:rsid w:val="00C91209"/>
    <w:rsid w:val="00C94A37"/>
    <w:rsid w:val="00C951E3"/>
    <w:rsid w:val="00CA1498"/>
    <w:rsid w:val="00CA3C7C"/>
    <w:rsid w:val="00CA723B"/>
    <w:rsid w:val="00CB4505"/>
    <w:rsid w:val="00CC6D79"/>
    <w:rsid w:val="00CD18E7"/>
    <w:rsid w:val="00CD20D7"/>
    <w:rsid w:val="00CD3410"/>
    <w:rsid w:val="00CD56FD"/>
    <w:rsid w:val="00CE214B"/>
    <w:rsid w:val="00CE27F3"/>
    <w:rsid w:val="00CE560C"/>
    <w:rsid w:val="00CF53D0"/>
    <w:rsid w:val="00CF6788"/>
    <w:rsid w:val="00CF7D31"/>
    <w:rsid w:val="00D023F4"/>
    <w:rsid w:val="00D14147"/>
    <w:rsid w:val="00D175B8"/>
    <w:rsid w:val="00D21D1F"/>
    <w:rsid w:val="00D221DB"/>
    <w:rsid w:val="00D24420"/>
    <w:rsid w:val="00D25664"/>
    <w:rsid w:val="00D25EB7"/>
    <w:rsid w:val="00D271E7"/>
    <w:rsid w:val="00D32D70"/>
    <w:rsid w:val="00D3666B"/>
    <w:rsid w:val="00D36EBC"/>
    <w:rsid w:val="00D43C13"/>
    <w:rsid w:val="00D44283"/>
    <w:rsid w:val="00D44F1E"/>
    <w:rsid w:val="00D47772"/>
    <w:rsid w:val="00D526ED"/>
    <w:rsid w:val="00D54AB1"/>
    <w:rsid w:val="00D55D3D"/>
    <w:rsid w:val="00D608CB"/>
    <w:rsid w:val="00D60E19"/>
    <w:rsid w:val="00D63C0C"/>
    <w:rsid w:val="00D66BB2"/>
    <w:rsid w:val="00D66F28"/>
    <w:rsid w:val="00D72150"/>
    <w:rsid w:val="00D73B5B"/>
    <w:rsid w:val="00D741EF"/>
    <w:rsid w:val="00D764E2"/>
    <w:rsid w:val="00D85F69"/>
    <w:rsid w:val="00D93623"/>
    <w:rsid w:val="00D957C9"/>
    <w:rsid w:val="00D970DB"/>
    <w:rsid w:val="00DA2374"/>
    <w:rsid w:val="00DA7A61"/>
    <w:rsid w:val="00DB042F"/>
    <w:rsid w:val="00DB5218"/>
    <w:rsid w:val="00DB60B5"/>
    <w:rsid w:val="00DB68AD"/>
    <w:rsid w:val="00DB7715"/>
    <w:rsid w:val="00DC10ED"/>
    <w:rsid w:val="00DC7347"/>
    <w:rsid w:val="00DD3000"/>
    <w:rsid w:val="00DD4CF7"/>
    <w:rsid w:val="00DE1F65"/>
    <w:rsid w:val="00DE7D2F"/>
    <w:rsid w:val="00DF0F1C"/>
    <w:rsid w:val="00DF2D45"/>
    <w:rsid w:val="00DF5A72"/>
    <w:rsid w:val="00E0240E"/>
    <w:rsid w:val="00E02E95"/>
    <w:rsid w:val="00E07F2E"/>
    <w:rsid w:val="00E10C66"/>
    <w:rsid w:val="00E112C6"/>
    <w:rsid w:val="00E130F4"/>
    <w:rsid w:val="00E15590"/>
    <w:rsid w:val="00E176B1"/>
    <w:rsid w:val="00E21BD8"/>
    <w:rsid w:val="00E21D75"/>
    <w:rsid w:val="00E21F15"/>
    <w:rsid w:val="00E261C2"/>
    <w:rsid w:val="00E26C1E"/>
    <w:rsid w:val="00E3289C"/>
    <w:rsid w:val="00E32F50"/>
    <w:rsid w:val="00E34F74"/>
    <w:rsid w:val="00E3671A"/>
    <w:rsid w:val="00E44DB1"/>
    <w:rsid w:val="00E510F7"/>
    <w:rsid w:val="00E547F0"/>
    <w:rsid w:val="00E6300E"/>
    <w:rsid w:val="00E65209"/>
    <w:rsid w:val="00E70B00"/>
    <w:rsid w:val="00E7123C"/>
    <w:rsid w:val="00E71487"/>
    <w:rsid w:val="00E843C9"/>
    <w:rsid w:val="00E87481"/>
    <w:rsid w:val="00E94558"/>
    <w:rsid w:val="00E9656D"/>
    <w:rsid w:val="00E97064"/>
    <w:rsid w:val="00E97673"/>
    <w:rsid w:val="00E97D1A"/>
    <w:rsid w:val="00E97E8D"/>
    <w:rsid w:val="00EA1E6A"/>
    <w:rsid w:val="00EA5334"/>
    <w:rsid w:val="00EB411B"/>
    <w:rsid w:val="00EB45B5"/>
    <w:rsid w:val="00ED77AF"/>
    <w:rsid w:val="00ED7C53"/>
    <w:rsid w:val="00EE1E85"/>
    <w:rsid w:val="00EE6E8E"/>
    <w:rsid w:val="00EF139C"/>
    <w:rsid w:val="00F05209"/>
    <w:rsid w:val="00F054D5"/>
    <w:rsid w:val="00F11163"/>
    <w:rsid w:val="00F12295"/>
    <w:rsid w:val="00F14F1F"/>
    <w:rsid w:val="00F219BE"/>
    <w:rsid w:val="00F25E17"/>
    <w:rsid w:val="00F3196A"/>
    <w:rsid w:val="00F364DA"/>
    <w:rsid w:val="00F36699"/>
    <w:rsid w:val="00F36BAA"/>
    <w:rsid w:val="00F42822"/>
    <w:rsid w:val="00F515A7"/>
    <w:rsid w:val="00F560FE"/>
    <w:rsid w:val="00F569FA"/>
    <w:rsid w:val="00F61465"/>
    <w:rsid w:val="00F64D85"/>
    <w:rsid w:val="00F653F0"/>
    <w:rsid w:val="00F761C4"/>
    <w:rsid w:val="00F770EF"/>
    <w:rsid w:val="00F80DD9"/>
    <w:rsid w:val="00F82C5C"/>
    <w:rsid w:val="00F83DC1"/>
    <w:rsid w:val="00F90843"/>
    <w:rsid w:val="00F90ABB"/>
    <w:rsid w:val="00F934FF"/>
    <w:rsid w:val="00F94916"/>
    <w:rsid w:val="00F97B7F"/>
    <w:rsid w:val="00FA13F7"/>
    <w:rsid w:val="00FA1ABA"/>
    <w:rsid w:val="00FA6882"/>
    <w:rsid w:val="00FA7AD9"/>
    <w:rsid w:val="00FB2B11"/>
    <w:rsid w:val="00FB2ECB"/>
    <w:rsid w:val="00FC39D2"/>
    <w:rsid w:val="00FC5D10"/>
    <w:rsid w:val="00FC6204"/>
    <w:rsid w:val="00FC6B8A"/>
    <w:rsid w:val="00FD0048"/>
    <w:rsid w:val="00FD2931"/>
    <w:rsid w:val="00FD586D"/>
    <w:rsid w:val="00FE1672"/>
    <w:rsid w:val="00FE2AF5"/>
    <w:rsid w:val="00FE72B6"/>
    <w:rsid w:val="00FE7F2E"/>
    <w:rsid w:val="00FF496C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DBD3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28B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7555582" TargetMode="External"/><Relationship Id="rId13" Type="http://schemas.openxmlformats.org/officeDocument/2006/relationships/hyperlink" Target="https://www.ncbi.nlm.nih.gov/pubmed/9921604" TargetMode="External"/><Relationship Id="rId18" Type="http://schemas.openxmlformats.org/officeDocument/2006/relationships/hyperlink" Target="https://www.conted.ox.ac.uk/about/msc-in-ebhc-medical-statistic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t.ly/2U6IN9T" TargetMode="External"/><Relationship Id="rId12" Type="http://schemas.openxmlformats.org/officeDocument/2006/relationships/hyperlink" Target="https://www.ncbi.nlm.nih.gov/pubmed/9921604" TargetMode="External"/><Relationship Id="rId17" Type="http://schemas.openxmlformats.org/officeDocument/2006/relationships/hyperlink" Target="https://www.conted.ox.ac.uk/about/msc-in-evidence-based-health-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ted.ox.ac.uk/courses/meta-analysis%3c/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2U6IN9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5811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onted.ox.ac.uk/about/msc-in-ebhc-systematic-re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982686" TargetMode="External"/><Relationship Id="rId14" Type="http://schemas.openxmlformats.org/officeDocument/2006/relationships/hyperlink" Target="https://bit.ly/2ueyQ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B2D09F-F5E8-465D-BDCF-0155BA53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Alice Crouch</cp:lastModifiedBy>
  <cp:revision>11</cp:revision>
  <cp:lastPrinted>2019-07-03T12:39:00Z</cp:lastPrinted>
  <dcterms:created xsi:type="dcterms:W3CDTF">2019-07-05T16:02:00Z</dcterms:created>
  <dcterms:modified xsi:type="dcterms:W3CDTF">2019-10-02T09:58:00Z</dcterms:modified>
</cp:coreProperties>
</file>