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538" w:rsidRDefault="00786B52" w:rsidP="00164538">
      <w:pPr>
        <w:rPr>
          <w:b/>
        </w:rPr>
      </w:pPr>
      <w:r>
        <w:rPr>
          <w:b/>
        </w:rPr>
        <w:t xml:space="preserve">Tip </w:t>
      </w:r>
      <w:r w:rsidR="007C6129">
        <w:rPr>
          <w:b/>
        </w:rPr>
        <w:t>for</w:t>
      </w:r>
      <w:r>
        <w:rPr>
          <w:b/>
        </w:rPr>
        <w:t xml:space="preserve"> d</w:t>
      </w:r>
      <w:r w:rsidR="00164538">
        <w:rPr>
          <w:b/>
        </w:rPr>
        <w:t xml:space="preserve">ata extraction </w:t>
      </w:r>
      <w:r w:rsidR="00165841">
        <w:rPr>
          <w:b/>
        </w:rPr>
        <w:t>for</w:t>
      </w:r>
      <w:r w:rsidR="00164538">
        <w:rPr>
          <w:b/>
        </w:rPr>
        <w:t xml:space="preserve"> meta-analysis </w:t>
      </w:r>
      <w:r w:rsidR="00D93623">
        <w:rPr>
          <w:b/>
        </w:rPr>
        <w:t>–</w:t>
      </w:r>
      <w:r w:rsidR="00164538">
        <w:rPr>
          <w:b/>
        </w:rPr>
        <w:t xml:space="preserve"> </w:t>
      </w:r>
      <w:r w:rsidR="00E27349">
        <w:rPr>
          <w:b/>
        </w:rPr>
        <w:t>16</w:t>
      </w:r>
    </w:p>
    <w:p w:rsidR="00567608" w:rsidRDefault="00567608" w:rsidP="00567608">
      <w:pPr>
        <w:jc w:val="center"/>
      </w:pPr>
      <w:r>
        <w:rPr>
          <w:noProof/>
          <w:lang w:eastAsia="en-GB"/>
        </w:rPr>
        <w:drawing>
          <wp:inline distT="0" distB="0" distL="0" distR="0" wp14:anchorId="336936E2" wp14:editId="666B43CE">
            <wp:extent cx="3483893" cy="17221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877" cy="17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D36" w:rsidRPr="005E3D36" w:rsidRDefault="00C25A7D" w:rsidP="005E3D36">
      <w:pPr>
        <w:rPr>
          <w:i/>
        </w:rPr>
      </w:pPr>
      <w:r>
        <w:rPr>
          <w:i/>
        </w:rPr>
        <w:t xml:space="preserve">Estimating a hazard ratio from a Kaplan curve and </w:t>
      </w:r>
      <w:r w:rsidR="006517F8">
        <w:rPr>
          <w:i/>
        </w:rPr>
        <w:t>numbers at risk</w:t>
      </w:r>
      <w:r w:rsidR="00CD20D7">
        <w:rPr>
          <w:i/>
        </w:rPr>
        <w:t xml:space="preserve">  </w:t>
      </w:r>
      <w:r w:rsidR="005E3D36" w:rsidRPr="005E3D36">
        <w:rPr>
          <w:i/>
        </w:rPr>
        <w:t xml:space="preserve">  </w:t>
      </w:r>
    </w:p>
    <w:p w:rsidR="001C4A6A" w:rsidRDefault="001C4A6A" w:rsidP="005E3D36"/>
    <w:p w:rsidR="005E3D36" w:rsidRPr="005E3D36" w:rsidRDefault="005E3D36" w:rsidP="005E3D36">
      <w:r w:rsidRPr="005E3D36">
        <w:t>Kathy Taylor</w:t>
      </w:r>
    </w:p>
    <w:p w:rsidR="005E3D36" w:rsidRDefault="005E3D36" w:rsidP="005E3D36"/>
    <w:p w:rsidR="00BF79AC" w:rsidRDefault="006517F8" w:rsidP="006517F8">
      <w:r>
        <w:t xml:space="preserve">In my last </w:t>
      </w:r>
      <w:hyperlink r:id="rId7" w:history="1">
        <w:r w:rsidRPr="002847A0">
          <w:rPr>
            <w:rStyle w:val="Hyperlink"/>
          </w:rPr>
          <w:t>post</w:t>
        </w:r>
      </w:hyperlink>
      <w:r>
        <w:t xml:space="preserve">, </w:t>
      </w:r>
      <w:r w:rsidR="006B5447">
        <w:t xml:space="preserve">using </w:t>
      </w:r>
      <w:hyperlink r:id="rId8" w:history="1">
        <w:r w:rsidRPr="00327771">
          <w:rPr>
            <w:rStyle w:val="Hyperlink"/>
          </w:rPr>
          <w:t>trial</w:t>
        </w:r>
      </w:hyperlink>
      <w:r>
        <w:t xml:space="preserve"> data, I w</w:t>
      </w:r>
      <w:r w:rsidR="006B5447">
        <w:t>orked</w:t>
      </w:r>
      <w:r>
        <w:t xml:space="preserve"> through the equations that underlie the spreadsheet calculator of </w:t>
      </w:r>
      <w:hyperlink r:id="rId9" w:history="1">
        <w:r w:rsidRPr="0037488E">
          <w:rPr>
            <w:rStyle w:val="Hyperlink"/>
          </w:rPr>
          <w:t>Tierney et al</w:t>
        </w:r>
      </w:hyperlink>
      <w:r>
        <w:t xml:space="preserve"> </w:t>
      </w:r>
      <w:r w:rsidR="006B5447">
        <w:t>to</w:t>
      </w:r>
      <w:r>
        <w:t xml:space="preserve"> estimate a hazard ratio (HR) from Kaplan Meier </w:t>
      </w:r>
      <w:r w:rsidR="006B5447">
        <w:t xml:space="preserve">(K-M) </w:t>
      </w:r>
      <w:r>
        <w:t>curves reported with information about follow-up. In th</w:t>
      </w:r>
      <w:r w:rsidR="006B5447">
        <w:t>is</w:t>
      </w:r>
      <w:r>
        <w:t xml:space="preserve"> post I</w:t>
      </w:r>
      <w:r w:rsidR="006B5447">
        <w:t>’</w:t>
      </w:r>
      <w:r>
        <w:t>ll look at the equations for the case of a K</w:t>
      </w:r>
      <w:r w:rsidR="006B5447">
        <w:t>-M</w:t>
      </w:r>
      <w:r>
        <w:t xml:space="preserve"> curve</w:t>
      </w:r>
      <w:r w:rsidR="006B5447">
        <w:t>s</w:t>
      </w:r>
      <w:r>
        <w:t xml:space="preserve"> reported with numbers at risk.</w:t>
      </w:r>
    </w:p>
    <w:p w:rsidR="00BA012D" w:rsidRDefault="00BA012D" w:rsidP="00BA012D"/>
    <w:p w:rsidR="00BA012D" w:rsidRDefault="00BA012D" w:rsidP="00D43A41">
      <w:r>
        <w:t xml:space="preserve">Again I’d like to thank David Fisher (MRC Clinical Trials Unit, UCL) for his help </w:t>
      </w:r>
      <w:r w:rsidR="00B263E0">
        <w:t xml:space="preserve">in </w:t>
      </w:r>
      <w:r w:rsidR="00D43A41">
        <w:t xml:space="preserve">deriving the equations. </w:t>
      </w:r>
    </w:p>
    <w:p w:rsidR="00BF79AC" w:rsidRDefault="00BF79AC" w:rsidP="003A0C28"/>
    <w:p w:rsidR="00BA012D" w:rsidRDefault="00BA012D" w:rsidP="00BA012D">
      <w:r>
        <w:t xml:space="preserve">Here </w:t>
      </w:r>
      <w:r w:rsidR="009570C2">
        <w:t>are</w:t>
      </w:r>
      <w:r>
        <w:t xml:space="preserve"> my extracted data with the reported numbers at risk of mortality (Table</w:t>
      </w:r>
      <w:r w:rsidR="00B263E0">
        <w:t xml:space="preserve"> 1</w:t>
      </w:r>
      <w:r>
        <w:t xml:space="preserve">) for the trial of two different peri-operative chemotherapy </w:t>
      </w:r>
      <w:r w:rsidR="002847A0">
        <w:t>treatment</w:t>
      </w:r>
      <w:r w:rsidR="00E74074">
        <w:t>s</w:t>
      </w:r>
      <w:r>
        <w:t xml:space="preserve"> for patients with gastric or gastro-oesophageal cancer. The treatment groups are abbreviated as FLOT (for the research, intervention group) and ECF/ECX (for the comparator group).</w:t>
      </w:r>
    </w:p>
    <w:p w:rsidR="00BA012D" w:rsidRDefault="00BA012D" w:rsidP="003A0C28"/>
    <w:p w:rsidR="00CD56FD" w:rsidRPr="00D93623" w:rsidRDefault="00D93623" w:rsidP="003A0C28">
      <w:pPr>
        <w:rPr>
          <w:szCs w:val="24"/>
        </w:rPr>
      </w:pPr>
      <w:r w:rsidRPr="00D93623">
        <w:rPr>
          <w:szCs w:val="24"/>
        </w:rPr>
        <w:t>Table</w:t>
      </w:r>
      <w:r w:rsidR="00B263E0">
        <w:rPr>
          <w:szCs w:val="24"/>
        </w:rPr>
        <w:t xml:space="preserve"> 1</w:t>
      </w:r>
      <w:r w:rsidRPr="00D93623">
        <w:rPr>
          <w:szCs w:val="24"/>
        </w:rPr>
        <w:t xml:space="preserve">. </w:t>
      </w:r>
      <w:r w:rsidR="00157A7E">
        <w:rPr>
          <w:szCs w:val="24"/>
        </w:rPr>
        <w:t>Data</w:t>
      </w:r>
      <w:r w:rsidRPr="00D93623">
        <w:rPr>
          <w:szCs w:val="24"/>
        </w:rPr>
        <w:t xml:space="preserve"> for the FLOT4 trial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843"/>
        <w:gridCol w:w="1559"/>
        <w:gridCol w:w="1843"/>
      </w:tblGrid>
      <w:tr w:rsidR="00D24420" w:rsidRPr="00CD56FD" w:rsidTr="00500D3B">
        <w:trPr>
          <w:trHeight w:val="300"/>
        </w:trPr>
        <w:tc>
          <w:tcPr>
            <w:tcW w:w="2122" w:type="dxa"/>
            <w:vMerge w:val="restart"/>
            <w:noWrap/>
            <w:hideMark/>
          </w:tcPr>
          <w:p w:rsidR="00D24420" w:rsidRPr="00D93623" w:rsidRDefault="00D24420" w:rsidP="00CD56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b/>
                <w:sz w:val="18"/>
                <w:szCs w:val="18"/>
                <w:lang w:eastAsia="en-US"/>
              </w:rPr>
              <w:t>Time at start of interval (months)</w:t>
            </w:r>
          </w:p>
        </w:tc>
        <w:tc>
          <w:tcPr>
            <w:tcW w:w="3685" w:type="dxa"/>
            <w:gridSpan w:val="2"/>
            <w:noWrap/>
            <w:hideMark/>
          </w:tcPr>
          <w:p w:rsidR="00D24420" w:rsidRPr="00D93623" w:rsidRDefault="006B5447" w:rsidP="00CD56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Survival </w:t>
            </w:r>
            <w:r w:rsidR="00981B01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(event-free)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3402" w:type="dxa"/>
            <w:gridSpan w:val="2"/>
            <w:noWrap/>
            <w:hideMark/>
          </w:tcPr>
          <w:p w:rsidR="00D24420" w:rsidRPr="00D93623" w:rsidRDefault="00D24420" w:rsidP="00CD56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b/>
                <w:sz w:val="18"/>
                <w:szCs w:val="18"/>
                <w:lang w:eastAsia="en-US"/>
              </w:rPr>
              <w:t>Reported numbers at risk</w:t>
            </w:r>
          </w:p>
        </w:tc>
      </w:tr>
      <w:tr w:rsidR="00D24420" w:rsidRPr="00CD56FD" w:rsidTr="00500D3B">
        <w:trPr>
          <w:trHeight w:val="300"/>
        </w:trPr>
        <w:tc>
          <w:tcPr>
            <w:tcW w:w="2122" w:type="dxa"/>
            <w:vMerge/>
            <w:noWrap/>
            <w:hideMark/>
          </w:tcPr>
          <w:p w:rsidR="00D24420" w:rsidRPr="00D93623" w:rsidRDefault="00D24420" w:rsidP="00CD56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noWrap/>
            <w:hideMark/>
          </w:tcPr>
          <w:p w:rsidR="00D24420" w:rsidRPr="00D93623" w:rsidRDefault="00D24420" w:rsidP="00CD56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b/>
                <w:sz w:val="18"/>
                <w:szCs w:val="18"/>
                <w:lang w:eastAsia="en-US"/>
              </w:rPr>
              <w:t>FLOT</w:t>
            </w:r>
          </w:p>
        </w:tc>
        <w:tc>
          <w:tcPr>
            <w:tcW w:w="1843" w:type="dxa"/>
            <w:noWrap/>
            <w:hideMark/>
          </w:tcPr>
          <w:p w:rsidR="00D24420" w:rsidRPr="00D93623" w:rsidRDefault="00D24420" w:rsidP="00CD56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b/>
                <w:sz w:val="18"/>
                <w:szCs w:val="18"/>
                <w:lang w:eastAsia="en-US"/>
              </w:rPr>
              <w:t>ECF/ECX</w:t>
            </w:r>
          </w:p>
        </w:tc>
        <w:tc>
          <w:tcPr>
            <w:tcW w:w="1559" w:type="dxa"/>
            <w:noWrap/>
            <w:hideMark/>
          </w:tcPr>
          <w:p w:rsidR="00D24420" w:rsidRPr="00D93623" w:rsidRDefault="00D24420" w:rsidP="00CD56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b/>
                <w:sz w:val="18"/>
                <w:szCs w:val="18"/>
                <w:lang w:eastAsia="en-US"/>
              </w:rPr>
              <w:t>FLOT</w:t>
            </w:r>
          </w:p>
        </w:tc>
        <w:tc>
          <w:tcPr>
            <w:tcW w:w="1843" w:type="dxa"/>
            <w:noWrap/>
            <w:hideMark/>
          </w:tcPr>
          <w:p w:rsidR="00D24420" w:rsidRPr="00D93623" w:rsidRDefault="00D24420" w:rsidP="00CD56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b/>
                <w:sz w:val="18"/>
                <w:szCs w:val="18"/>
                <w:lang w:eastAsia="en-US"/>
              </w:rPr>
              <w:t>ECF/ECX</w:t>
            </w:r>
          </w:p>
        </w:tc>
      </w:tr>
      <w:tr w:rsidR="00CD56FD" w:rsidRPr="00CD56FD" w:rsidTr="00500D3B">
        <w:trPr>
          <w:trHeight w:val="300"/>
        </w:trPr>
        <w:tc>
          <w:tcPr>
            <w:tcW w:w="2122" w:type="dxa"/>
            <w:noWrap/>
            <w:hideMark/>
          </w:tcPr>
          <w:p w:rsidR="00CD56FD" w:rsidRPr="00D93623" w:rsidRDefault="00CD56FD" w:rsidP="00CD56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2" w:type="dxa"/>
            <w:noWrap/>
            <w:hideMark/>
          </w:tcPr>
          <w:p w:rsidR="00CD56FD" w:rsidRPr="00D93623" w:rsidRDefault="00CD56FD" w:rsidP="00CD56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CD56FD" w:rsidRPr="00D93623" w:rsidRDefault="00CD56FD" w:rsidP="00CD56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CD56FD" w:rsidRPr="00D93623" w:rsidRDefault="00CD56FD" w:rsidP="00CD56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1843" w:type="dxa"/>
            <w:noWrap/>
            <w:hideMark/>
          </w:tcPr>
          <w:p w:rsidR="00CD56FD" w:rsidRPr="00D93623" w:rsidRDefault="00CD56FD" w:rsidP="00CD56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360</w:t>
            </w:r>
          </w:p>
        </w:tc>
      </w:tr>
      <w:tr w:rsidR="00CD56FD" w:rsidRPr="00CD56FD" w:rsidTr="00500D3B">
        <w:trPr>
          <w:trHeight w:val="300"/>
        </w:trPr>
        <w:tc>
          <w:tcPr>
            <w:tcW w:w="2122" w:type="dxa"/>
            <w:noWrap/>
            <w:hideMark/>
          </w:tcPr>
          <w:p w:rsidR="00CD56FD" w:rsidRPr="00D93623" w:rsidRDefault="00CD56FD" w:rsidP="00CD56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CD56FD" w:rsidRPr="00D93623" w:rsidRDefault="00CD56FD" w:rsidP="00CD56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843" w:type="dxa"/>
            <w:noWrap/>
            <w:hideMark/>
          </w:tcPr>
          <w:p w:rsidR="00CD56FD" w:rsidRPr="00D93623" w:rsidRDefault="00CD56FD" w:rsidP="00CD56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559" w:type="dxa"/>
            <w:noWrap/>
            <w:hideMark/>
          </w:tcPr>
          <w:p w:rsidR="00CD56FD" w:rsidRPr="00D93623" w:rsidRDefault="00CD56FD" w:rsidP="00CD56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297</w:t>
            </w:r>
          </w:p>
        </w:tc>
        <w:tc>
          <w:tcPr>
            <w:tcW w:w="1843" w:type="dxa"/>
            <w:noWrap/>
            <w:hideMark/>
          </w:tcPr>
          <w:p w:rsidR="00CD56FD" w:rsidRPr="00D93623" w:rsidRDefault="00CD56FD" w:rsidP="00CD56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287</w:t>
            </w:r>
          </w:p>
        </w:tc>
      </w:tr>
      <w:tr w:rsidR="00CD56FD" w:rsidRPr="00CD56FD" w:rsidTr="00500D3B">
        <w:trPr>
          <w:trHeight w:val="300"/>
        </w:trPr>
        <w:tc>
          <w:tcPr>
            <w:tcW w:w="2122" w:type="dxa"/>
            <w:noWrap/>
            <w:hideMark/>
          </w:tcPr>
          <w:p w:rsidR="00CD56FD" w:rsidRPr="00D93623" w:rsidRDefault="00CD56FD" w:rsidP="00CD56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842" w:type="dxa"/>
            <w:noWrap/>
            <w:hideMark/>
          </w:tcPr>
          <w:p w:rsidR="00CD56FD" w:rsidRPr="00D93623" w:rsidRDefault="00CD56FD" w:rsidP="00CD56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1843" w:type="dxa"/>
            <w:noWrap/>
            <w:hideMark/>
          </w:tcPr>
          <w:p w:rsidR="00CD56FD" w:rsidRPr="00D93623" w:rsidRDefault="00CD56FD" w:rsidP="00CD56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1559" w:type="dxa"/>
            <w:noWrap/>
            <w:hideMark/>
          </w:tcPr>
          <w:p w:rsidR="00CD56FD" w:rsidRPr="00D93623" w:rsidRDefault="00CD56FD" w:rsidP="00CD56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231</w:t>
            </w:r>
          </w:p>
        </w:tc>
        <w:tc>
          <w:tcPr>
            <w:tcW w:w="1843" w:type="dxa"/>
            <w:noWrap/>
            <w:hideMark/>
          </w:tcPr>
          <w:p w:rsidR="00CD56FD" w:rsidRPr="00D93623" w:rsidRDefault="00CD56FD" w:rsidP="00CD56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202</w:t>
            </w:r>
          </w:p>
        </w:tc>
      </w:tr>
      <w:tr w:rsidR="00CD56FD" w:rsidRPr="00CD56FD" w:rsidTr="00500D3B">
        <w:trPr>
          <w:trHeight w:val="300"/>
        </w:trPr>
        <w:tc>
          <w:tcPr>
            <w:tcW w:w="2122" w:type="dxa"/>
            <w:noWrap/>
            <w:hideMark/>
          </w:tcPr>
          <w:p w:rsidR="00CD56FD" w:rsidRPr="00D93623" w:rsidRDefault="00CD56FD" w:rsidP="00CD56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CD56FD" w:rsidRPr="00D93623" w:rsidRDefault="00CD56FD" w:rsidP="00CD56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1843" w:type="dxa"/>
            <w:noWrap/>
            <w:hideMark/>
          </w:tcPr>
          <w:p w:rsidR="00CD56FD" w:rsidRPr="00D93623" w:rsidRDefault="00CD56FD" w:rsidP="00CD56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1559" w:type="dxa"/>
            <w:noWrap/>
            <w:hideMark/>
          </w:tcPr>
          <w:p w:rsidR="00CD56FD" w:rsidRPr="00D93623" w:rsidRDefault="00CD56FD" w:rsidP="00CD56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1843" w:type="dxa"/>
            <w:noWrap/>
            <w:hideMark/>
          </w:tcPr>
          <w:p w:rsidR="00CD56FD" w:rsidRPr="00D93623" w:rsidRDefault="00CD56FD" w:rsidP="00CD56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126</w:t>
            </w:r>
          </w:p>
        </w:tc>
      </w:tr>
      <w:tr w:rsidR="00CD56FD" w:rsidRPr="00CD56FD" w:rsidTr="00500D3B">
        <w:trPr>
          <w:trHeight w:val="300"/>
        </w:trPr>
        <w:tc>
          <w:tcPr>
            <w:tcW w:w="2122" w:type="dxa"/>
            <w:noWrap/>
            <w:hideMark/>
          </w:tcPr>
          <w:p w:rsidR="00CD56FD" w:rsidRPr="00D93623" w:rsidRDefault="00CD56FD" w:rsidP="00CD56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842" w:type="dxa"/>
            <w:noWrap/>
            <w:hideMark/>
          </w:tcPr>
          <w:p w:rsidR="00CD56FD" w:rsidRPr="00D93623" w:rsidRDefault="00CD56FD" w:rsidP="00CD56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843" w:type="dxa"/>
            <w:noWrap/>
            <w:hideMark/>
          </w:tcPr>
          <w:p w:rsidR="00CD56FD" w:rsidRPr="00D93623" w:rsidRDefault="00CD56FD" w:rsidP="00CD56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559" w:type="dxa"/>
            <w:noWrap/>
            <w:hideMark/>
          </w:tcPr>
          <w:p w:rsidR="00CD56FD" w:rsidRPr="00D93623" w:rsidRDefault="00CD56FD" w:rsidP="00CD56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843" w:type="dxa"/>
            <w:noWrap/>
            <w:hideMark/>
          </w:tcPr>
          <w:p w:rsidR="00CD56FD" w:rsidRPr="00D93623" w:rsidRDefault="00CD56FD" w:rsidP="00CD56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83</w:t>
            </w:r>
          </w:p>
        </w:tc>
      </w:tr>
      <w:tr w:rsidR="00CD56FD" w:rsidRPr="00CD56FD" w:rsidTr="00500D3B">
        <w:trPr>
          <w:trHeight w:val="300"/>
        </w:trPr>
        <w:tc>
          <w:tcPr>
            <w:tcW w:w="2122" w:type="dxa"/>
            <w:noWrap/>
            <w:hideMark/>
          </w:tcPr>
          <w:p w:rsidR="00CD56FD" w:rsidRPr="00D93623" w:rsidRDefault="00CD56FD" w:rsidP="00CD56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842" w:type="dxa"/>
            <w:noWrap/>
            <w:hideMark/>
          </w:tcPr>
          <w:p w:rsidR="00CD56FD" w:rsidRPr="00D93623" w:rsidRDefault="00CD56FD" w:rsidP="00CD56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843" w:type="dxa"/>
            <w:noWrap/>
            <w:hideMark/>
          </w:tcPr>
          <w:p w:rsidR="00CD56FD" w:rsidRPr="00D93623" w:rsidRDefault="00CD56FD" w:rsidP="00CD56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559" w:type="dxa"/>
            <w:noWrap/>
            <w:hideMark/>
          </w:tcPr>
          <w:p w:rsidR="00CD56FD" w:rsidRPr="00D93623" w:rsidRDefault="00CD56FD" w:rsidP="00CD56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843" w:type="dxa"/>
            <w:noWrap/>
            <w:hideMark/>
          </w:tcPr>
          <w:p w:rsidR="00CD56FD" w:rsidRPr="00D93623" w:rsidRDefault="00CD56FD" w:rsidP="00CD56F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93623">
              <w:rPr>
                <w:rFonts w:eastAsiaTheme="minorHAnsi"/>
                <w:sz w:val="18"/>
                <w:szCs w:val="18"/>
                <w:lang w:eastAsia="en-US"/>
              </w:rPr>
              <w:t>33</w:t>
            </w:r>
          </w:p>
        </w:tc>
      </w:tr>
      <w:tr w:rsidR="00CD56FD" w:rsidRPr="00CD56FD" w:rsidTr="00500D3B">
        <w:trPr>
          <w:trHeight w:val="300"/>
        </w:trPr>
        <w:tc>
          <w:tcPr>
            <w:tcW w:w="2122" w:type="dxa"/>
            <w:noWrap/>
            <w:hideMark/>
          </w:tcPr>
          <w:p w:rsidR="00CD56FD" w:rsidRPr="00CD56FD" w:rsidRDefault="00CD56FD" w:rsidP="00CD56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56FD">
              <w:rPr>
                <w:rFonts w:eastAsiaTheme="minorHAns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CD56FD" w:rsidRPr="00CD56FD" w:rsidRDefault="00CD56FD" w:rsidP="00CD56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56FD">
              <w:rPr>
                <w:rFonts w:eastAsiaTheme="minorHAns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843" w:type="dxa"/>
            <w:noWrap/>
            <w:hideMark/>
          </w:tcPr>
          <w:p w:rsidR="00CD56FD" w:rsidRPr="00CD56FD" w:rsidRDefault="00CD56FD" w:rsidP="00CD56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56FD">
              <w:rPr>
                <w:rFonts w:eastAsiaTheme="minorHAns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559" w:type="dxa"/>
            <w:noWrap/>
            <w:hideMark/>
          </w:tcPr>
          <w:p w:rsidR="00CD56FD" w:rsidRPr="00CD56FD" w:rsidRDefault="00CD56FD" w:rsidP="00CD56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56FD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CD56FD" w:rsidRPr="00CD56FD" w:rsidRDefault="00CD56FD" w:rsidP="00CD56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56FD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</w:tr>
    </w:tbl>
    <w:p w:rsidR="005D4C2D" w:rsidRDefault="005D4C2D" w:rsidP="005D4C2D"/>
    <w:p w:rsidR="006517F8" w:rsidRDefault="006517F8" w:rsidP="005D4C2D">
      <w:r>
        <w:t>The authors highlight the advantage of these data offering a more direct way to assess censoring</w:t>
      </w:r>
      <w:r w:rsidR="000C519C">
        <w:t xml:space="preserve"> but the </w:t>
      </w:r>
      <w:r w:rsidR="00BA012D">
        <w:t xml:space="preserve">disadvantage </w:t>
      </w:r>
      <w:r w:rsidR="000C519C">
        <w:t xml:space="preserve">is that there are fewer data points. </w:t>
      </w:r>
    </w:p>
    <w:p w:rsidR="000C519C" w:rsidRDefault="000C519C" w:rsidP="005D4C2D"/>
    <w:p w:rsidR="005D4C2D" w:rsidRDefault="005D4C2D" w:rsidP="005D4C2D">
      <w:r>
        <w:lastRenderedPageBreak/>
        <w:t xml:space="preserve">The spreadsheet </w:t>
      </w:r>
      <w:r w:rsidR="001A583D">
        <w:t>calculations</w:t>
      </w:r>
      <w:r w:rsidR="00BA012D">
        <w:t xml:space="preserve">, which follow an actuarial life-table </w:t>
      </w:r>
      <w:hyperlink r:id="rId10" w:history="1">
        <w:r w:rsidR="00BA012D" w:rsidRPr="00BA012D">
          <w:rPr>
            <w:rStyle w:val="Hyperlink"/>
          </w:rPr>
          <w:t>approach</w:t>
        </w:r>
      </w:hyperlink>
      <w:r w:rsidR="00BA012D">
        <w:t xml:space="preserve"> (Figure</w:t>
      </w:r>
      <w:r w:rsidR="00B263E0">
        <w:t xml:space="preserve"> 1</w:t>
      </w:r>
      <w:r w:rsidR="00BA012D">
        <w:t xml:space="preserve">), estimate for </w:t>
      </w:r>
      <w:r>
        <w:t>each time</w:t>
      </w:r>
      <w:r w:rsidR="007F2D71">
        <w:t xml:space="preserve"> interval and each treatment arm</w:t>
      </w:r>
      <w:r>
        <w:t>:</w:t>
      </w:r>
    </w:p>
    <w:p w:rsidR="00D9449C" w:rsidRDefault="00D9449C" w:rsidP="00D9449C">
      <w:pPr>
        <w:pStyle w:val="ListParagraph"/>
        <w:numPr>
          <w:ilvl w:val="0"/>
          <w:numId w:val="14"/>
        </w:numPr>
        <w:ind w:left="360"/>
      </w:pPr>
      <w:r>
        <w:t>Numbers at risk during the current interval</w:t>
      </w:r>
    </w:p>
    <w:p w:rsidR="00D9449C" w:rsidRDefault="00D9449C" w:rsidP="00D9449C">
      <w:pPr>
        <w:pStyle w:val="ListParagraph"/>
        <w:numPr>
          <w:ilvl w:val="0"/>
          <w:numId w:val="14"/>
        </w:numPr>
        <w:ind w:left="360"/>
      </w:pPr>
      <w:r>
        <w:t>Numbers of (patients with) events during the current interval</w:t>
      </w:r>
    </w:p>
    <w:p w:rsidR="00D9198F" w:rsidRDefault="00E3731B" w:rsidP="00E74074">
      <w:pPr>
        <w:pStyle w:val="ListParagraph"/>
        <w:numPr>
          <w:ilvl w:val="0"/>
          <w:numId w:val="14"/>
        </w:numPr>
        <w:ind w:left="360"/>
      </w:pPr>
      <w:r>
        <w:t>Numbers censored in the current interval</w:t>
      </w:r>
      <w:r w:rsidR="008E7C9D">
        <w:t xml:space="preserve"> </w:t>
      </w:r>
      <w:r w:rsidR="00D9198F">
        <w:t>(involving a fractional equation)</w:t>
      </w:r>
    </w:p>
    <w:p w:rsidR="005D4C2D" w:rsidRDefault="005D4C2D" w:rsidP="00E74074">
      <w:pPr>
        <w:pStyle w:val="ListParagraph"/>
        <w:numPr>
          <w:ilvl w:val="0"/>
          <w:numId w:val="14"/>
        </w:numPr>
        <w:ind w:left="360"/>
      </w:pPr>
      <w:r>
        <w:t>O-E</w:t>
      </w:r>
      <w:r w:rsidR="002E2506">
        <w:t>,</w:t>
      </w:r>
      <w:r>
        <w:t xml:space="preserve"> V and </w:t>
      </w:r>
      <w:r w:rsidR="002E2506">
        <w:t xml:space="preserve">the </w:t>
      </w:r>
      <w:r>
        <w:t>HR for the current interval</w:t>
      </w:r>
      <w:r w:rsidR="001515EB">
        <w:t xml:space="preserve"> (2 estimations are given)</w:t>
      </w:r>
      <w:r w:rsidR="002E2506">
        <w:t xml:space="preserve"> </w:t>
      </w:r>
    </w:p>
    <w:p w:rsidR="002E2506" w:rsidRDefault="002E2506" w:rsidP="005B149D">
      <w:r>
        <w:t xml:space="preserve">These </w:t>
      </w:r>
      <w:r w:rsidR="009310A4">
        <w:t>s</w:t>
      </w:r>
      <w:r>
        <w:t xml:space="preserve">teps are repeated across all intervals and </w:t>
      </w:r>
      <w:r w:rsidR="009310A4">
        <w:t xml:space="preserve">finally </w:t>
      </w:r>
      <w:r>
        <w:t xml:space="preserve">these statistics are </w:t>
      </w:r>
      <w:r w:rsidR="009310A4">
        <w:t xml:space="preserve">combined to </w:t>
      </w:r>
      <w:r>
        <w:t>calculat</w:t>
      </w:r>
      <w:r w:rsidR="009310A4">
        <w:t>e</w:t>
      </w:r>
      <w:r>
        <w:t>:</w:t>
      </w:r>
    </w:p>
    <w:p w:rsidR="005D4C2D" w:rsidRDefault="00056D84" w:rsidP="00FC5D10">
      <w:pPr>
        <w:pStyle w:val="ListParagraph"/>
        <w:numPr>
          <w:ilvl w:val="0"/>
          <w:numId w:val="14"/>
        </w:numPr>
        <w:ind w:left="360"/>
      </w:pPr>
      <w:r>
        <w:t>O</w:t>
      </w:r>
      <w:r w:rsidR="002E2506">
        <w:t>-E, V and the HR for the whole</w:t>
      </w:r>
      <w:r w:rsidR="00FC5D10">
        <w:t xml:space="preserve"> </w:t>
      </w:r>
      <w:r w:rsidR="002E2506">
        <w:t>survival curve.</w:t>
      </w:r>
    </w:p>
    <w:p w:rsidR="009570C2" w:rsidRDefault="009570C2" w:rsidP="009570C2">
      <w:pPr>
        <w:pStyle w:val="ListParagraph"/>
        <w:ind w:left="360"/>
      </w:pPr>
    </w:p>
    <w:p w:rsidR="001515EB" w:rsidRDefault="009570C2" w:rsidP="009570C2">
      <w:pPr>
        <w:jc w:val="center"/>
      </w:pPr>
      <w:r>
        <w:rPr>
          <w:noProof/>
          <w:lang w:eastAsia="en-GB"/>
        </w:rPr>
        <w:drawing>
          <wp:inline distT="0" distB="0" distL="0" distR="0" wp14:anchorId="1DB5D148">
            <wp:extent cx="5029785" cy="2312943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198" cy="2317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70C2" w:rsidRDefault="009570C2" w:rsidP="009570C2">
      <w:pPr>
        <w:jc w:val="center"/>
      </w:pPr>
      <w:r>
        <w:t>Figure</w:t>
      </w:r>
      <w:r w:rsidR="00B263E0">
        <w:t xml:space="preserve"> 1</w:t>
      </w:r>
      <w:r>
        <w:t>. Spreadsheet calculations</w:t>
      </w:r>
    </w:p>
    <w:p w:rsidR="009570C2" w:rsidRDefault="009570C2" w:rsidP="001515EB">
      <w:r>
        <w:t>Having the numbers at risk ‘anchors’ the estimates</w:t>
      </w:r>
      <w:r w:rsidR="008E7C9D">
        <w:t xml:space="preserve"> at particular times</w:t>
      </w:r>
      <w:r>
        <w:t xml:space="preserve">, </w:t>
      </w:r>
      <w:r w:rsidR="002A6654">
        <w:t>unlike</w:t>
      </w:r>
      <w:r>
        <w:t xml:space="preserve"> the case of estimates made for K-M curves with information about follow-up </w:t>
      </w:r>
      <w:r w:rsidR="008E7C9D">
        <w:t xml:space="preserve">where the time intervals are those reported and those chosen by the data extractor </w:t>
      </w:r>
      <w:r>
        <w:t>&lt;link&gt;.</w:t>
      </w:r>
    </w:p>
    <w:p w:rsidR="009570C2" w:rsidRDefault="009570C2" w:rsidP="001515EB">
      <w:r>
        <w:t xml:space="preserve"> </w:t>
      </w:r>
    </w:p>
    <w:p w:rsidR="009570C2" w:rsidRDefault="00E3731B" w:rsidP="001515EB">
      <w:r>
        <w:t xml:space="preserve">I will illustrate the use of the equations by </w:t>
      </w:r>
      <w:r w:rsidR="00D30132">
        <w:t xml:space="preserve">showing the calculations for </w:t>
      </w:r>
      <w:r>
        <w:t>the first interval of the trial data (0-12 months).</w:t>
      </w:r>
      <w:r w:rsidR="008E30DB">
        <w:t xml:space="preserve"> </w:t>
      </w:r>
    </w:p>
    <w:p w:rsidR="00E3731B" w:rsidRDefault="00E3731B" w:rsidP="001515EB"/>
    <w:p w:rsidR="00DD01B3" w:rsidRDefault="00DD01B3" w:rsidP="001515EB">
      <w:r>
        <w:t>A bit of maths shows (see below if you are interested)</w:t>
      </w:r>
    </w:p>
    <w:p w:rsidR="00DD01B3" w:rsidRDefault="00DD01B3" w:rsidP="001515EB"/>
    <w:p w:rsidR="001515EB" w:rsidRDefault="001515EB" w:rsidP="001515EB">
      <w:r>
        <w:t xml:space="preserve">STEP 1:  </w:t>
      </w:r>
      <w:r w:rsidRPr="001515EB">
        <w:t>Numbers at risk during the current interval</w:t>
      </w:r>
    </w:p>
    <w:p w:rsidR="001515EB" w:rsidRDefault="001515EB" w:rsidP="001515EB"/>
    <w:p w:rsidR="001515EB" w:rsidRPr="00D30132" w:rsidRDefault="00E3731B" w:rsidP="001515EB">
      <w:pPr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At risk during the interval=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At risk at start+At risk at end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×Survival % at start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(Survival % at start+Survical % at end)</m:t>
              </m:r>
            </m:den>
          </m:f>
        </m:oMath>
      </m:oMathPara>
    </w:p>
    <w:p w:rsidR="001515EB" w:rsidRPr="009570C2" w:rsidRDefault="009570C2" w:rsidP="009570C2">
      <w:pPr>
        <w:jc w:val="right"/>
        <w:rPr>
          <w:b/>
        </w:rPr>
      </w:pPr>
      <w:r>
        <w:rPr>
          <w:b/>
        </w:rPr>
        <w:t>e</w:t>
      </w:r>
      <w:r w:rsidRPr="009570C2">
        <w:rPr>
          <w:b/>
        </w:rPr>
        <w:t>quation 1</w:t>
      </w:r>
    </w:p>
    <w:p w:rsidR="008E30DB" w:rsidRDefault="00E3731B" w:rsidP="001515EB">
      <w:r>
        <w:t>i.e</w:t>
      </w:r>
      <w:r w:rsidR="008E30DB">
        <w:t xml:space="preserve">. </w:t>
      </w:r>
    </w:p>
    <w:p w:rsidR="008E30DB" w:rsidRDefault="008E30DB" w:rsidP="001515EB">
      <w:r>
        <w:t>(356+297) x 1.00</w:t>
      </w:r>
      <w:proofErr w:type="gramStart"/>
      <w:r>
        <w:t>/(</w:t>
      </w:r>
      <w:proofErr w:type="gramEnd"/>
      <w:r>
        <w:t>1.00+0.84)=354.89 in the research group</w:t>
      </w:r>
    </w:p>
    <w:p w:rsidR="001515EB" w:rsidRDefault="008E30DB" w:rsidP="001515EB">
      <w:r>
        <w:t>(360+287) x 1.00</w:t>
      </w:r>
      <w:proofErr w:type="gramStart"/>
      <w:r>
        <w:t>/(</w:t>
      </w:r>
      <w:proofErr w:type="gramEnd"/>
      <w:r>
        <w:t xml:space="preserve">1.00+0.80)=359.44 in the control group </w:t>
      </w:r>
    </w:p>
    <w:p w:rsidR="001515EB" w:rsidRDefault="001515EB" w:rsidP="001515EB"/>
    <w:p w:rsidR="002C4633" w:rsidRDefault="002C4633" w:rsidP="001515EB">
      <w:r>
        <w:t xml:space="preserve">STEP 2: </w:t>
      </w:r>
      <w:r w:rsidRPr="002C4633">
        <w:t>Numbers of patients with events during the current interval</w:t>
      </w:r>
    </w:p>
    <w:p w:rsidR="002C4633" w:rsidRPr="00D30132" w:rsidRDefault="002C4633" w:rsidP="001515EB">
      <w:pPr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w:lastRenderedPageBreak/>
            <m:t>Events during current=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 xml:space="preserve">(At risk at start+At risk at end)(Survival % at start-Survival % at end) 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(Survival % at start+Survival % at end)</m:t>
              </m:r>
            </m:den>
          </m:f>
        </m:oMath>
      </m:oMathPara>
    </w:p>
    <w:p w:rsidR="009570C2" w:rsidRPr="009570C2" w:rsidRDefault="009570C2" w:rsidP="009570C2">
      <w:pPr>
        <w:jc w:val="right"/>
        <w:rPr>
          <w:b/>
        </w:rPr>
      </w:pPr>
      <w:r>
        <w:rPr>
          <w:b/>
        </w:rPr>
        <w:t>e</w:t>
      </w:r>
      <w:r w:rsidRPr="009570C2">
        <w:rPr>
          <w:b/>
        </w:rPr>
        <w:t xml:space="preserve">quation </w:t>
      </w:r>
      <w:r>
        <w:rPr>
          <w:b/>
        </w:rPr>
        <w:t>2</w:t>
      </w:r>
    </w:p>
    <w:p w:rsidR="009570C2" w:rsidRDefault="009570C2" w:rsidP="001515EB"/>
    <w:p w:rsidR="002C4633" w:rsidRDefault="00D30132" w:rsidP="001515EB">
      <w:r>
        <w:t xml:space="preserve">i.e. </w:t>
      </w:r>
    </w:p>
    <w:p w:rsidR="00D30132" w:rsidRDefault="00DD01B3" w:rsidP="001515EB">
      <w:r>
        <w:t>(356+297) x (1.00-0.84)</w:t>
      </w:r>
      <w:proofErr w:type="gramStart"/>
      <w:r>
        <w:t>/(</w:t>
      </w:r>
      <w:proofErr w:type="gramEnd"/>
      <w:r>
        <w:t>1.00+0.8</w:t>
      </w:r>
      <w:r w:rsidR="00D43A41">
        <w:t>4</w:t>
      </w:r>
      <w:r>
        <w:t xml:space="preserve">) = 56.78 </w:t>
      </w:r>
      <w:r w:rsidR="00D30132" w:rsidRPr="00D30132">
        <w:t>in the research group</w:t>
      </w:r>
    </w:p>
    <w:p w:rsidR="00D30132" w:rsidRDefault="00DD01B3" w:rsidP="00D30132">
      <w:r>
        <w:t>(360+287) x (1.00-0.80)</w:t>
      </w:r>
      <w:proofErr w:type="gramStart"/>
      <w:r>
        <w:t>/(</w:t>
      </w:r>
      <w:proofErr w:type="gramEnd"/>
      <w:r>
        <w:t xml:space="preserve">1.00+0.80) = 71.89 </w:t>
      </w:r>
      <w:r w:rsidR="00D30132">
        <w:t xml:space="preserve">in the control group </w:t>
      </w:r>
    </w:p>
    <w:p w:rsidR="00D30132" w:rsidRDefault="00D30132" w:rsidP="001515EB"/>
    <w:p w:rsidR="00DD01B3" w:rsidRDefault="00DD01B3" w:rsidP="001515EB">
      <w:r>
        <w:t xml:space="preserve">STEP 3: </w:t>
      </w:r>
      <w:r w:rsidRPr="00DD01B3">
        <w:t>Numbers censored in the current interval</w:t>
      </w:r>
    </w:p>
    <w:p w:rsidR="00D30132" w:rsidRDefault="00D30132" w:rsidP="001515EB"/>
    <w:p w:rsidR="00DD01B3" w:rsidRPr="00926FA3" w:rsidRDefault="00DD01B3" w:rsidP="001515EB">
      <w:pPr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Censored during current=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2 ×(At risk at start ×Survival % at end-At risk at end ×Survival% at start)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(Survival % at start+Survival % at end)</m:t>
              </m:r>
            </m:den>
          </m:f>
        </m:oMath>
      </m:oMathPara>
    </w:p>
    <w:p w:rsidR="009570C2" w:rsidRPr="009570C2" w:rsidRDefault="009570C2" w:rsidP="009570C2">
      <w:pPr>
        <w:jc w:val="right"/>
        <w:rPr>
          <w:b/>
        </w:rPr>
      </w:pPr>
      <w:r w:rsidRPr="009570C2">
        <w:rPr>
          <w:b/>
        </w:rPr>
        <w:t xml:space="preserve">equation </w:t>
      </w:r>
      <w:r>
        <w:rPr>
          <w:b/>
        </w:rPr>
        <w:t>3</w:t>
      </w:r>
    </w:p>
    <w:p w:rsidR="00D30132" w:rsidRDefault="003F06CB" w:rsidP="001515EB">
      <w:r>
        <w:t xml:space="preserve">i.e. </w:t>
      </w:r>
    </w:p>
    <w:p w:rsidR="003F06CB" w:rsidRDefault="003F06CB" w:rsidP="001515EB">
      <w:r>
        <w:t>2x(</w:t>
      </w:r>
      <w:r w:rsidR="00FC0FAF">
        <w:t>356x0.84-297x1.00)</w:t>
      </w:r>
      <w:proofErr w:type="gramStart"/>
      <w:r w:rsidR="00FC0FAF">
        <w:t>/(</w:t>
      </w:r>
      <w:proofErr w:type="gramEnd"/>
      <w:r w:rsidR="00FC0FAF">
        <w:t>1.00+0.84)=2.22 in the research group</w:t>
      </w:r>
    </w:p>
    <w:p w:rsidR="00FC0FAF" w:rsidRDefault="00FC0FAF" w:rsidP="001515EB">
      <w:r>
        <w:t>2x(360x0.80-287x1.00)</w:t>
      </w:r>
      <w:proofErr w:type="gramStart"/>
      <w:r>
        <w:t>/(</w:t>
      </w:r>
      <w:proofErr w:type="gramEnd"/>
      <w:r>
        <w:t>1.00+0.80)=1.11 in the control group</w:t>
      </w:r>
    </w:p>
    <w:p w:rsidR="00B263E0" w:rsidRDefault="00B263E0" w:rsidP="001515EB"/>
    <w:p w:rsidR="00B263E0" w:rsidRDefault="00B263E0" w:rsidP="001515EB">
      <w:r>
        <w:t xml:space="preserve">It is interesting to see that approximately 3 patients were censored in the period 0-12 </w:t>
      </w:r>
      <w:proofErr w:type="gramStart"/>
      <w:r>
        <w:t>months</w:t>
      </w:r>
      <w:proofErr w:type="gramEnd"/>
      <w:r>
        <w:t xml:space="preserve"> but these were not accounted for </w:t>
      </w:r>
      <w:hyperlink r:id="rId12" w:history="1">
        <w:r w:rsidRPr="00881083">
          <w:rPr>
            <w:rStyle w:val="Hyperlink"/>
          </w:rPr>
          <w:t>previously</w:t>
        </w:r>
      </w:hyperlink>
      <w:r>
        <w:t xml:space="preserve"> by estimating a minimum follow</w:t>
      </w:r>
      <w:r w:rsidR="00CF20AA">
        <w:t>-</w:t>
      </w:r>
      <w:r>
        <w:t xml:space="preserve">up period of 15 months. </w:t>
      </w:r>
    </w:p>
    <w:p w:rsidR="00FC0FAF" w:rsidRDefault="00FC0FAF" w:rsidP="001515EB">
      <w:r>
        <w:t xml:space="preserve"> </w:t>
      </w:r>
    </w:p>
    <w:p w:rsidR="00DC7347" w:rsidRPr="001262E9" w:rsidRDefault="009F2755" w:rsidP="001262E9">
      <w:r>
        <w:t xml:space="preserve">STEP </w:t>
      </w:r>
      <w:r w:rsidR="00926FA3">
        <w:t>4a</w:t>
      </w:r>
      <w:r>
        <w:t xml:space="preserve">: </w:t>
      </w:r>
      <w:r w:rsidR="00926FA3">
        <w:t xml:space="preserve">Estimate </w:t>
      </w:r>
      <w:r w:rsidR="001262E9" w:rsidRPr="001262E9">
        <w:t xml:space="preserve">HR </w:t>
      </w:r>
      <w:r w:rsidR="00926FA3">
        <w:t xml:space="preserve">and V </w:t>
      </w:r>
      <w:r w:rsidR="001262E9" w:rsidRPr="001262E9">
        <w:t>for the current interval</w:t>
      </w:r>
      <w:r w:rsidR="00926FA3">
        <w:t xml:space="preserve"> using the steps given previously</w:t>
      </w:r>
      <w:r w:rsidR="00185EA5">
        <w:t xml:space="preserve"> &lt;link&gt;</w:t>
      </w:r>
      <w:bookmarkStart w:id="0" w:name="_GoBack"/>
      <w:bookmarkEnd w:id="0"/>
    </w:p>
    <w:p w:rsidR="00926FA3" w:rsidRDefault="00926FA3" w:rsidP="00926FA3">
      <w:r>
        <w:t>i.e. The HR is calculated as a relative risk for.</w:t>
      </w:r>
    </w:p>
    <w:p w:rsidR="00926FA3" w:rsidRDefault="00926FA3" w:rsidP="00926FA3"/>
    <w:p w:rsidR="00926FA3" w:rsidRDefault="00926FA3" w:rsidP="00926FA3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HR=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Events for research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At risk, adjusted for research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Events for control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At risk, adjusted for control</m:t>
                      </m:r>
                    </m:den>
                  </m:f>
                </m:den>
              </m:f>
            </m:e>
          </m:d>
        </m:oMath>
      </m:oMathPara>
    </w:p>
    <w:p w:rsidR="00926FA3" w:rsidRDefault="009601AB" w:rsidP="008C1FD7">
      <w:pPr>
        <w:rPr>
          <w:rFonts w:eastAsiaTheme="minorEastAsia"/>
        </w:rPr>
      </w:pPr>
      <w:r>
        <w:rPr>
          <w:rFonts w:eastAsiaTheme="minorEastAsia"/>
        </w:rPr>
        <w:t>i.e. (56.78/354.89)</w:t>
      </w:r>
      <w:proofErr w:type="gramStart"/>
      <w:r>
        <w:rPr>
          <w:rFonts w:eastAsiaTheme="minorEastAsia"/>
        </w:rPr>
        <w:t>/(</w:t>
      </w:r>
      <w:proofErr w:type="gramEnd"/>
      <w:r>
        <w:rPr>
          <w:rFonts w:eastAsiaTheme="minorEastAsia"/>
        </w:rPr>
        <w:t>71.89/359.44)=0.80</w:t>
      </w:r>
    </w:p>
    <w:p w:rsidR="00926FA3" w:rsidRPr="001414A0" w:rsidRDefault="00926FA3" w:rsidP="00926FA3">
      <w:pPr>
        <w:rPr>
          <w:rFonts w:eastAsiaTheme="minorEastAsia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V=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Events for research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At risk, adjusted research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Events for  control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At risk, adjusted control</m:t>
                      </m:r>
                    </m:den>
                  </m:f>
                </m:e>
              </m:d>
            </m:den>
          </m:f>
        </m:oMath>
      </m:oMathPara>
    </w:p>
    <w:p w:rsidR="00926FA3" w:rsidRDefault="00926FA3" w:rsidP="008C1FD7">
      <w:pPr>
        <w:rPr>
          <w:rFonts w:eastAsiaTheme="minorEastAsia"/>
        </w:rPr>
      </w:pPr>
    </w:p>
    <w:p w:rsidR="009570C2" w:rsidRPr="009570C2" w:rsidRDefault="009570C2" w:rsidP="009570C2">
      <w:pPr>
        <w:jc w:val="right"/>
        <w:rPr>
          <w:b/>
        </w:rPr>
      </w:pPr>
      <w:r>
        <w:rPr>
          <w:b/>
        </w:rPr>
        <w:t>e</w:t>
      </w:r>
      <w:r w:rsidRPr="009570C2">
        <w:rPr>
          <w:b/>
        </w:rPr>
        <w:t xml:space="preserve">quation </w:t>
      </w:r>
      <w:r>
        <w:rPr>
          <w:b/>
        </w:rPr>
        <w:t>4</w:t>
      </w:r>
    </w:p>
    <w:p w:rsidR="009570C2" w:rsidRDefault="009570C2" w:rsidP="009570C2">
      <w:pPr>
        <w:jc w:val="right"/>
        <w:rPr>
          <w:rFonts w:eastAsiaTheme="minorEastAsia"/>
        </w:rPr>
      </w:pPr>
    </w:p>
    <w:p w:rsidR="00185EA5" w:rsidRDefault="00185EA5" w:rsidP="00185EA5">
      <w:pPr>
        <w:rPr>
          <w:szCs w:val="24"/>
        </w:rPr>
      </w:pPr>
      <w:r>
        <w:rPr>
          <w:szCs w:val="24"/>
        </w:rPr>
        <w:t>A direct method to calculate the HR is</w:t>
      </w:r>
    </w:p>
    <w:p w:rsidR="00185EA5" w:rsidRPr="009A6CBA" w:rsidRDefault="00185EA5" w:rsidP="00185EA5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HR=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exp</m:t>
          </m:r>
          <m:d>
            <m:d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O-E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V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⁡</m:t>
          </m:r>
        </m:oMath>
      </m:oMathPara>
    </w:p>
    <w:p w:rsidR="00185EA5" w:rsidRPr="001277B5" w:rsidRDefault="00185EA5" w:rsidP="00185EA5">
      <w:pPr>
        <w:rPr>
          <w:szCs w:val="24"/>
        </w:rPr>
      </w:pPr>
      <w:r>
        <w:rPr>
          <w:szCs w:val="24"/>
        </w:rPr>
        <w:t xml:space="preserve">Taking natural </w:t>
      </w:r>
      <w:hyperlink r:id="rId13" w:history="1">
        <w:r w:rsidRPr="001E0FD3">
          <w:rPr>
            <w:rStyle w:val="Hyperlink"/>
            <w:szCs w:val="24"/>
          </w:rPr>
          <w:t>logs</w:t>
        </w:r>
      </w:hyperlink>
      <w:r>
        <w:rPr>
          <w:szCs w:val="24"/>
        </w:rPr>
        <w:t xml:space="preserve"> of both sides and rearranging gives</w:t>
      </w:r>
      <w:r w:rsidRPr="001277B5">
        <w:rPr>
          <w:szCs w:val="24"/>
        </w:rPr>
        <w:t xml:space="preserve"> </w:t>
      </w:r>
    </w:p>
    <w:p w:rsidR="00185EA5" w:rsidRDefault="00185EA5" w:rsidP="00185EA5">
      <w:pPr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O-E=ln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HR</m:t>
            </m:r>
          </m:e>
        </m:d>
        <m:r>
          <w:rPr>
            <w:rFonts w:ascii="Cambria Math" w:hAnsi="Cambria Math"/>
          </w:rPr>
          <m:t xml:space="preserve"> × V</m:t>
        </m:r>
      </m:oMath>
      <w:r>
        <w:rPr>
          <w:rFonts w:eastAsiaTheme="minorEastAsia"/>
        </w:rPr>
        <w:t xml:space="preserve"> </w:t>
      </w:r>
    </w:p>
    <w:p w:rsidR="00926FA3" w:rsidRDefault="00926FA3" w:rsidP="008C1FD7">
      <w:pPr>
        <w:rPr>
          <w:rFonts w:eastAsiaTheme="minorEastAsia"/>
        </w:rPr>
      </w:pPr>
    </w:p>
    <w:p w:rsidR="00185EA5" w:rsidRDefault="00185EA5" w:rsidP="00185EA5">
      <w:r>
        <w:t>STEP 4b: Estimate E and then O-E</w:t>
      </w:r>
    </w:p>
    <w:p w:rsidR="009570C2" w:rsidRDefault="009570C2" w:rsidP="00185EA5">
      <w:r>
        <w:lastRenderedPageBreak/>
        <w:t>The number of expected events in the current interval for the research group is estimated as the fraction with events multiplied by the number at risk in the research group:</w:t>
      </w:r>
    </w:p>
    <w:p w:rsidR="009570C2" w:rsidRDefault="009570C2" w:rsidP="00185EA5"/>
    <w:p w:rsidR="00185EA5" w:rsidRPr="00185EA5" w:rsidRDefault="00185EA5" w:rsidP="00185EA5">
      <w:pPr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Expected events during for research=(Events research+Events control)×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At risk during, research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At risk during, research+At risk, during, control</m:t>
              </m:r>
            </m:den>
          </m:f>
        </m:oMath>
      </m:oMathPara>
    </w:p>
    <w:p w:rsidR="009601AB" w:rsidRPr="009570C2" w:rsidRDefault="009601AB" w:rsidP="009601AB">
      <w:pPr>
        <w:jc w:val="right"/>
        <w:rPr>
          <w:b/>
        </w:rPr>
      </w:pPr>
      <w:r>
        <w:rPr>
          <w:b/>
        </w:rPr>
        <w:t>e</w:t>
      </w:r>
      <w:r w:rsidRPr="009570C2">
        <w:rPr>
          <w:b/>
        </w:rPr>
        <w:t xml:space="preserve">quation </w:t>
      </w:r>
      <w:r>
        <w:rPr>
          <w:b/>
        </w:rPr>
        <w:t>5</w:t>
      </w:r>
    </w:p>
    <w:p w:rsidR="009601AB" w:rsidRDefault="009601AB" w:rsidP="008C1FD7">
      <w:pPr>
        <w:rPr>
          <w:rFonts w:eastAsiaTheme="minorEastAsia"/>
        </w:rPr>
      </w:pPr>
    </w:p>
    <w:p w:rsidR="00926FA3" w:rsidRDefault="00C25ECD" w:rsidP="008C1FD7">
      <w:pPr>
        <w:rPr>
          <w:rFonts w:eastAsiaTheme="minorEastAsia"/>
        </w:rPr>
      </w:pPr>
      <w:r>
        <w:rPr>
          <w:rFonts w:eastAsiaTheme="minorEastAsia"/>
        </w:rPr>
        <w:t xml:space="preserve">i.e. </w:t>
      </w:r>
    </w:p>
    <w:p w:rsidR="00C25ECD" w:rsidRDefault="009601AB" w:rsidP="008C1FD7">
      <w:pPr>
        <w:rPr>
          <w:rFonts w:eastAsiaTheme="minorEastAsia"/>
        </w:rPr>
      </w:pPr>
      <w:r>
        <w:rPr>
          <w:rFonts w:eastAsiaTheme="minorEastAsia"/>
        </w:rPr>
        <w:t>E</w:t>
      </w:r>
      <w:proofErr w:type="gramStart"/>
      <w:r>
        <w:rPr>
          <w:rFonts w:eastAsiaTheme="minorEastAsia"/>
        </w:rPr>
        <w:t>=</w:t>
      </w:r>
      <w:r w:rsidR="00C25ECD">
        <w:rPr>
          <w:rFonts w:eastAsiaTheme="minorEastAsia"/>
        </w:rPr>
        <w:t>(</w:t>
      </w:r>
      <w:proofErr w:type="gramEnd"/>
      <w:r w:rsidR="00C25ECD">
        <w:rPr>
          <w:rFonts w:eastAsiaTheme="minorEastAsia"/>
        </w:rPr>
        <w:t>56.78+71.89) x 354.89/(354.89+359.64)=</w:t>
      </w:r>
      <w:r>
        <w:rPr>
          <w:rFonts w:eastAsiaTheme="minorEastAsia"/>
        </w:rPr>
        <w:t>63.91</w:t>
      </w:r>
    </w:p>
    <w:p w:rsidR="00185EA5" w:rsidRDefault="00185EA5" w:rsidP="008C1FD7">
      <w:pPr>
        <w:rPr>
          <w:rFonts w:eastAsiaTheme="minorEastAsia"/>
        </w:rPr>
      </w:pPr>
    </w:p>
    <w:p w:rsidR="009601AB" w:rsidRDefault="009601AB" w:rsidP="008C1FD7">
      <w:pPr>
        <w:rPr>
          <w:rFonts w:eastAsiaTheme="minorEastAsia"/>
        </w:rPr>
      </w:pPr>
      <w:r>
        <w:rPr>
          <w:rFonts w:eastAsiaTheme="minorEastAsia"/>
        </w:rPr>
        <w:t>The difference between the observed and expected events in the research group is</w:t>
      </w:r>
    </w:p>
    <w:p w:rsidR="009601AB" w:rsidRDefault="009601AB" w:rsidP="008C1FD7">
      <w:pPr>
        <w:rPr>
          <w:rFonts w:eastAsiaTheme="minorEastAsia"/>
        </w:rPr>
      </w:pPr>
      <w:r>
        <w:rPr>
          <w:rFonts w:eastAsiaTheme="minorEastAsia"/>
        </w:rPr>
        <w:t>O-E=56.78-63.91= -7.13</w:t>
      </w:r>
    </w:p>
    <w:p w:rsidR="009601AB" w:rsidRDefault="009601AB" w:rsidP="008C1FD7">
      <w:pPr>
        <w:rPr>
          <w:rFonts w:eastAsiaTheme="minorEastAsia"/>
        </w:rPr>
      </w:pPr>
    </w:p>
    <w:p w:rsidR="00185EA5" w:rsidRDefault="00893CB5" w:rsidP="008C1FD7">
      <w:pPr>
        <w:rPr>
          <w:rFonts w:eastAsiaTheme="minorEastAsia"/>
        </w:rPr>
      </w:pPr>
      <w:r>
        <w:rPr>
          <w:rFonts w:eastAsiaTheme="minorEastAsia"/>
        </w:rPr>
        <w:t xml:space="preserve">If the randomisation ratio is 1:1, estimate </w:t>
      </w:r>
    </w:p>
    <w:p w:rsidR="00185EA5" w:rsidRDefault="00185EA5" w:rsidP="008C1FD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V=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Total observed events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</m:oMath>
      </m:oMathPara>
    </w:p>
    <w:p w:rsidR="00893CB5" w:rsidRPr="009601AB" w:rsidRDefault="009601AB" w:rsidP="009601AB">
      <w:pPr>
        <w:jc w:val="right"/>
        <w:rPr>
          <w:rFonts w:eastAsiaTheme="minorEastAsia"/>
          <w:b/>
        </w:rPr>
      </w:pPr>
      <w:r>
        <w:rPr>
          <w:rFonts w:eastAsiaTheme="minorEastAsia"/>
          <w:b/>
        </w:rPr>
        <w:t>e</w:t>
      </w:r>
      <w:r w:rsidRPr="009601AB">
        <w:rPr>
          <w:rFonts w:eastAsiaTheme="minorEastAsia"/>
          <w:b/>
        </w:rPr>
        <w:t xml:space="preserve">quation </w:t>
      </w:r>
      <w:r>
        <w:rPr>
          <w:rFonts w:eastAsiaTheme="minorEastAsia"/>
          <w:b/>
        </w:rPr>
        <w:t>6</w:t>
      </w:r>
    </w:p>
    <w:p w:rsidR="009601AB" w:rsidRDefault="009601AB" w:rsidP="008C1FD7">
      <w:pPr>
        <w:rPr>
          <w:rFonts w:eastAsiaTheme="minorEastAsia"/>
        </w:rPr>
      </w:pPr>
      <w:r>
        <w:rPr>
          <w:rFonts w:eastAsiaTheme="minorEastAsia"/>
        </w:rPr>
        <w:t>i.e.</w:t>
      </w:r>
    </w:p>
    <w:p w:rsidR="009601AB" w:rsidRDefault="009601AB" w:rsidP="008C1FD7">
      <w:pPr>
        <w:rPr>
          <w:rFonts w:eastAsiaTheme="minorEastAsia"/>
        </w:rPr>
      </w:pPr>
      <w:r>
        <w:rPr>
          <w:rFonts w:eastAsiaTheme="minorEastAsia"/>
        </w:rPr>
        <w:t>(56.78+71.89)/4=32.17</w:t>
      </w:r>
    </w:p>
    <w:p w:rsidR="009601AB" w:rsidRDefault="009601AB" w:rsidP="008C1FD7">
      <w:pPr>
        <w:rPr>
          <w:rFonts w:eastAsiaTheme="minorEastAsia"/>
        </w:rPr>
      </w:pPr>
    </w:p>
    <w:p w:rsidR="00185EA5" w:rsidRDefault="00893CB5" w:rsidP="008C1FD7">
      <w:pPr>
        <w:rPr>
          <w:rFonts w:eastAsiaTheme="minorEastAsia"/>
        </w:rPr>
      </w:pPr>
      <w:r>
        <w:rPr>
          <w:rFonts w:eastAsiaTheme="minorEastAsia"/>
        </w:rPr>
        <w:t>I</w:t>
      </w:r>
      <w:r w:rsidR="00185EA5">
        <w:rPr>
          <w:rFonts w:eastAsiaTheme="minorEastAsia"/>
        </w:rPr>
        <w:t>f randomisation ratio is not 1:1</w:t>
      </w:r>
      <w:r>
        <w:rPr>
          <w:rFonts w:eastAsiaTheme="minorEastAsia"/>
        </w:rPr>
        <w:t xml:space="preserve"> or the reported numbers at risk (Event free at start of intervals) are very different, use</w:t>
      </w:r>
    </w:p>
    <w:p w:rsidR="00185EA5" w:rsidRDefault="00185EA5" w:rsidP="008C1FD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V=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Total observed events ×Analysed research ×Analysed control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Analysed research+Analysed control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9601AB" w:rsidRPr="009601AB" w:rsidRDefault="009601AB" w:rsidP="009601AB">
      <w:pPr>
        <w:jc w:val="right"/>
        <w:rPr>
          <w:rFonts w:eastAsiaTheme="minorEastAsia"/>
          <w:b/>
        </w:rPr>
      </w:pPr>
      <w:r>
        <w:rPr>
          <w:rFonts w:eastAsiaTheme="minorEastAsia"/>
          <w:b/>
        </w:rPr>
        <w:t>e</w:t>
      </w:r>
      <w:r w:rsidRPr="009601AB">
        <w:rPr>
          <w:rFonts w:eastAsiaTheme="minorEastAsia"/>
          <w:b/>
        </w:rPr>
        <w:t xml:space="preserve">quation </w:t>
      </w:r>
      <w:r>
        <w:rPr>
          <w:rFonts w:eastAsiaTheme="minorEastAsia"/>
          <w:b/>
        </w:rPr>
        <w:t>7</w:t>
      </w:r>
    </w:p>
    <w:p w:rsidR="009601AB" w:rsidRDefault="009601AB" w:rsidP="00893CB5">
      <w:pPr>
        <w:rPr>
          <w:szCs w:val="24"/>
        </w:rPr>
      </w:pPr>
      <w:r>
        <w:rPr>
          <w:szCs w:val="24"/>
        </w:rPr>
        <w:t xml:space="preserve">i.e. </w:t>
      </w:r>
    </w:p>
    <w:p w:rsidR="009601AB" w:rsidRDefault="00CF20AA" w:rsidP="00893CB5">
      <w:pPr>
        <w:rPr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56.78+71.89</m:t>
                  </m:r>
                </m:e>
              </m:d>
              <m:r>
                <w:rPr>
                  <w:rFonts w:ascii="Cambria Math" w:hAnsi="Cambria Math"/>
                  <w:szCs w:val="24"/>
                </w:rPr>
                <m:t>×356×360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(356+360)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Cs w:val="24"/>
            </w:rPr>
            <m:t>=32.17</m:t>
          </m:r>
        </m:oMath>
      </m:oMathPara>
    </w:p>
    <w:p w:rsidR="00893CB5" w:rsidRDefault="009601AB" w:rsidP="00893CB5">
      <w:pPr>
        <w:rPr>
          <w:szCs w:val="24"/>
        </w:rPr>
      </w:pPr>
      <w:r>
        <w:rPr>
          <w:szCs w:val="24"/>
        </w:rPr>
        <w:t>The HR can be calculated directly a</w:t>
      </w:r>
      <w:r w:rsidR="00893CB5">
        <w:rPr>
          <w:szCs w:val="24"/>
        </w:rPr>
        <w:t>s</w:t>
      </w:r>
    </w:p>
    <w:p w:rsidR="00893CB5" w:rsidRPr="009A6CBA" w:rsidRDefault="00893CB5" w:rsidP="00893CB5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HR=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exp</m:t>
          </m:r>
          <m:d>
            <m:d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O-E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V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⁡</m:t>
          </m:r>
        </m:oMath>
      </m:oMathPara>
    </w:p>
    <w:p w:rsidR="00893CB5" w:rsidRDefault="009601AB" w:rsidP="008C1FD7">
      <w:pPr>
        <w:rPr>
          <w:rFonts w:eastAsiaTheme="minorEastAsia"/>
        </w:rPr>
      </w:pPr>
      <w:r w:rsidRPr="009601AB">
        <w:rPr>
          <w:rFonts w:eastAsiaTheme="minorEastAsia"/>
        </w:rPr>
        <w:t>i.e.</w:t>
      </w:r>
    </w:p>
    <w:p w:rsidR="009601AB" w:rsidRPr="009601AB" w:rsidRDefault="009601AB" w:rsidP="008C1FD7">
      <w:pPr>
        <w:rPr>
          <w:rFonts w:eastAsiaTheme="minorEastAsia"/>
        </w:rPr>
      </w:pPr>
      <w:proofErr w:type="gramStart"/>
      <w:r>
        <w:rPr>
          <w:rFonts w:eastAsiaTheme="minorEastAsia"/>
        </w:rPr>
        <w:t>exp(</w:t>
      </w:r>
      <w:proofErr w:type="gramEnd"/>
      <w:r>
        <w:rPr>
          <w:rFonts w:eastAsiaTheme="minorEastAsia"/>
        </w:rPr>
        <w:t>-7.13/32.17)=0.80</w:t>
      </w:r>
    </w:p>
    <w:p w:rsidR="009400AF" w:rsidRDefault="009400AF" w:rsidP="008C1FD7">
      <w:pPr>
        <w:rPr>
          <w:rFonts w:eastAsiaTheme="minorEastAsia"/>
        </w:rPr>
      </w:pPr>
    </w:p>
    <w:p w:rsidR="001414A0" w:rsidRPr="008C1FD7" w:rsidRDefault="008C1FD7" w:rsidP="008C1FD7">
      <w:pPr>
        <w:rPr>
          <w:rFonts w:eastAsiaTheme="minorEastAsia"/>
        </w:rPr>
      </w:pPr>
      <w:r>
        <w:rPr>
          <w:rFonts w:eastAsiaTheme="minorEastAsia"/>
        </w:rPr>
        <w:t xml:space="preserve">STEP 6: </w:t>
      </w:r>
      <w:r w:rsidR="001414A0" w:rsidRPr="008C1FD7">
        <w:rPr>
          <w:rFonts w:eastAsiaTheme="minorEastAsia"/>
        </w:rPr>
        <w:t>O-E, V and the HR for the whole survival curve.</w:t>
      </w:r>
    </w:p>
    <w:p w:rsidR="001414A0" w:rsidRDefault="001414A0" w:rsidP="00C94A37"/>
    <w:p w:rsidR="001414A0" w:rsidRDefault="00C75CD2" w:rsidP="00C94A37">
      <w:r>
        <w:t>Accounting for all intervals</w:t>
      </w:r>
      <w:r w:rsidR="00684A6F">
        <w:t>,</w:t>
      </w:r>
      <w:r>
        <w:t xml:space="preserve"> the HR for the whole curve is </w:t>
      </w:r>
      <w:hyperlink r:id="rId14" w:history="1">
        <w:r w:rsidRPr="00684A6F">
          <w:rPr>
            <w:rStyle w:val="Hyperlink"/>
          </w:rPr>
          <w:t>calculated</w:t>
        </w:r>
      </w:hyperlink>
      <w:r>
        <w:t xml:space="preserve"> </w:t>
      </w:r>
    </w:p>
    <w:p w:rsidR="00FA1ABA" w:rsidRDefault="006505D4" w:rsidP="00C94A3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HR=</m:t>
          </m:r>
          <m:r>
            <m:rPr>
              <m:sty m:val="p"/>
            </m:rPr>
            <w:rPr>
              <w:rFonts w:ascii="Cambria Math" w:hAnsi="Cambria Math"/>
            </w:rPr>
            <m:t>exp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</w:rPr>
                        <m:t>O-E</m:t>
                      </m:r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</m:nary>
                </m:den>
              </m:f>
            </m:e>
          </m:d>
        </m:oMath>
      </m:oMathPara>
    </w:p>
    <w:p w:rsidR="009601AB" w:rsidRPr="009601AB" w:rsidRDefault="00FA1ABA" w:rsidP="00C94A37">
      <w:pPr>
        <w:rPr>
          <w:rFonts w:eastAsiaTheme="minorEastAsia"/>
          <w:color w:val="000000" w:themeColor="text1"/>
        </w:rPr>
      </w:pPr>
      <w:r w:rsidRPr="009601AB">
        <w:rPr>
          <w:rFonts w:eastAsiaTheme="minorEastAsia"/>
          <w:color w:val="000000" w:themeColor="text1"/>
        </w:rPr>
        <w:t>i.e.</w:t>
      </w:r>
    </w:p>
    <w:p w:rsidR="00FA1ABA" w:rsidRPr="00FA1ABA" w:rsidRDefault="009601AB" w:rsidP="00C94A3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 xml:space="preserve"> =exp⁡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-7.1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-13.8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1.4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0.9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-2.4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+(-0.7)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32.17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32.43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15.48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6.9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4.37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+(0.75)</m:t>
                  </m:r>
                </m:den>
              </m:f>
            </m:e>
          </m:d>
        </m:oMath>
      </m:oMathPara>
    </w:p>
    <w:p w:rsidR="00FA1ABA" w:rsidRDefault="00FA1ABA" w:rsidP="00C94A3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=exp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-21.7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92.1</m:t>
                  </m:r>
                </m:den>
              </m:f>
            </m:e>
          </m:d>
        </m:oMath>
      </m:oMathPara>
    </w:p>
    <w:p w:rsidR="00C75CD2" w:rsidRPr="006162AD" w:rsidRDefault="006162AD" w:rsidP="00C94A3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=0.79</m:t>
          </m:r>
        </m:oMath>
      </m:oMathPara>
    </w:p>
    <w:p w:rsidR="006162AD" w:rsidRDefault="006162AD" w:rsidP="00C94A37">
      <w:pPr>
        <w:rPr>
          <w:rFonts w:eastAsiaTheme="minorEastAsia"/>
        </w:rPr>
      </w:pPr>
      <w:r>
        <w:rPr>
          <w:rFonts w:eastAsiaTheme="minorEastAsia"/>
        </w:rPr>
        <w:t xml:space="preserve">With V = </w:t>
      </w:r>
      <w:r w:rsidR="00E27349">
        <w:rPr>
          <w:rFonts w:eastAsiaTheme="minorEastAsia"/>
        </w:rPr>
        <w:t>92.1</w:t>
      </w:r>
      <w:r w:rsidR="00B263E0">
        <w:rPr>
          <w:rFonts w:eastAsiaTheme="minorEastAsia"/>
        </w:rPr>
        <w:t>, O-E= -21.7</w:t>
      </w:r>
      <w:r>
        <w:rPr>
          <w:rFonts w:eastAsiaTheme="minorEastAsia"/>
        </w:rPr>
        <w:t xml:space="preserve"> and 95% CI </w:t>
      </w:r>
      <w:r w:rsidR="00B263E0">
        <w:rPr>
          <w:rFonts w:eastAsiaTheme="minorEastAsia"/>
        </w:rPr>
        <w:t xml:space="preserve">of the HR is </w:t>
      </w:r>
      <w:r>
        <w:rPr>
          <w:rFonts w:eastAsiaTheme="minorEastAsia"/>
        </w:rPr>
        <w:t>0.64 to 0.9</w:t>
      </w:r>
      <w:r w:rsidR="00E27349">
        <w:rPr>
          <w:rFonts w:eastAsiaTheme="minorEastAsia"/>
        </w:rPr>
        <w:t>7</w:t>
      </w:r>
      <w:r>
        <w:rPr>
          <w:rFonts w:eastAsiaTheme="minorEastAsia"/>
        </w:rPr>
        <w:t>.</w:t>
      </w:r>
    </w:p>
    <w:p w:rsidR="006162AD" w:rsidRDefault="006162AD" w:rsidP="00C94A37"/>
    <w:p w:rsidR="00DC7347" w:rsidRDefault="00DC7347" w:rsidP="00C94A37">
      <w:r>
        <w:rPr>
          <w:rFonts w:ascii="Times New Roman" w:hAnsi="Times New Roman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EBCF0" wp14:editId="34232DA9">
                <wp:simplePos x="0" y="0"/>
                <wp:positionH relativeFrom="margin">
                  <wp:posOffset>1076325</wp:posOffset>
                </wp:positionH>
                <wp:positionV relativeFrom="paragraph">
                  <wp:posOffset>69215</wp:posOffset>
                </wp:positionV>
                <wp:extent cx="3139440" cy="2072640"/>
                <wp:effectExtent l="0" t="0" r="22860" b="22860"/>
                <wp:wrapNone/>
                <wp:docPr id="3" name="Vertic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2072640"/>
                        </a:xfrm>
                        <a:prstGeom prst="verticalScroll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4074" w:rsidRDefault="00E74074" w:rsidP="00065AB9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Here’s a tip…</w:t>
                            </w:r>
                          </w:p>
                          <w:p w:rsidR="00E74074" w:rsidRDefault="00E74074" w:rsidP="00065AB9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You can calculate a hazard ratio from a survival curve reported with numbers at risk</w:t>
                            </w:r>
                          </w:p>
                          <w:p w:rsidR="00E74074" w:rsidRDefault="00E74074" w:rsidP="00065AB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EBCF0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3" o:spid="_x0000_s1026" type="#_x0000_t97" style="position:absolute;left:0;text-align:left;margin-left:84.75pt;margin-top:5.45pt;width:247.2pt;height:16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" fillcolor="#f8cbad" strokecolor="#41719c" strokeweight="1pt">
                <v:stroke joinstyle="miter"/>
                <v:textbox>
                  <w:txbxContent>
                    <w:p w:rsidR="00E74074" w:rsidRDefault="00E74074" w:rsidP="00065AB9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Here’s a tip…</w:t>
                      </w:r>
                    </w:p>
                    <w:p w:rsidR="00E74074" w:rsidRDefault="00E74074" w:rsidP="00065AB9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You can calculate a hazard ratio from a survival curve reported with numbers at risk</w:t>
                      </w:r>
                    </w:p>
                    <w:p w:rsidR="00E74074" w:rsidRDefault="00E74074" w:rsidP="00065AB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7347" w:rsidRDefault="00DC7347" w:rsidP="00C94A37"/>
    <w:p w:rsidR="00DC7347" w:rsidRDefault="00DC7347" w:rsidP="00C94A37"/>
    <w:p w:rsidR="00DC7347" w:rsidRDefault="00DC7347" w:rsidP="00C94A37"/>
    <w:p w:rsidR="00DC7347" w:rsidRDefault="00DC7347" w:rsidP="00C94A37"/>
    <w:p w:rsidR="00E10C66" w:rsidRDefault="00E10C66" w:rsidP="00C94A37"/>
    <w:p w:rsidR="00E10C66" w:rsidRDefault="00E10C66" w:rsidP="00C94A37"/>
    <w:p w:rsidR="00E10C66" w:rsidRDefault="00E10C66" w:rsidP="00C94A37"/>
    <w:p w:rsidR="00E10C66" w:rsidRDefault="00E10C66" w:rsidP="00C94A37"/>
    <w:p w:rsidR="00E10C66" w:rsidRDefault="00E10C66" w:rsidP="00C94A37"/>
    <w:p w:rsidR="00BA5C0B" w:rsidRDefault="00BA5C0B" w:rsidP="001E0FD3">
      <w:pPr>
        <w:rPr>
          <w:b/>
        </w:rPr>
      </w:pPr>
    </w:p>
    <w:p w:rsidR="004F568B" w:rsidRDefault="004F568B" w:rsidP="001E0FD3">
      <w:pPr>
        <w:rPr>
          <w:b/>
        </w:rPr>
      </w:pPr>
    </w:p>
    <w:p w:rsidR="00684A6F" w:rsidRPr="00684A6F" w:rsidRDefault="00684A6F" w:rsidP="00684A6F">
      <w:pPr>
        <w:jc w:val="left"/>
        <w:rPr>
          <w:rFonts w:asciiTheme="majorHAnsi" w:eastAsiaTheme="majorEastAsia" w:hAnsiTheme="majorHAnsi" w:cstheme="majorBidi"/>
          <w:i/>
          <w:sz w:val="26"/>
          <w:szCs w:val="26"/>
        </w:rPr>
      </w:pPr>
      <w:r w:rsidRPr="00684A6F">
        <w:rPr>
          <w:rFonts w:asciiTheme="majorHAnsi" w:eastAsiaTheme="majorEastAsia" w:hAnsiTheme="majorHAnsi" w:cstheme="majorBidi"/>
          <w:i/>
          <w:sz w:val="26"/>
          <w:szCs w:val="26"/>
        </w:rPr>
        <w:t>Where did the equations come from?</w:t>
      </w:r>
    </w:p>
    <w:p w:rsidR="00684A6F" w:rsidRPr="00684A6F" w:rsidRDefault="00684A6F" w:rsidP="00684A6F">
      <w:pPr>
        <w:rPr>
          <w:sz w:val="20"/>
          <w:szCs w:val="20"/>
        </w:rPr>
      </w:pPr>
      <w:r w:rsidRPr="00684A6F">
        <w:rPr>
          <w:sz w:val="20"/>
          <w:szCs w:val="20"/>
        </w:rPr>
        <w:t>(You can skip this if you are only interested in carrying out the calculations)</w:t>
      </w:r>
    </w:p>
    <w:p w:rsidR="00E10C66" w:rsidRDefault="00E10C66" w:rsidP="00C94A37"/>
    <w:p w:rsidR="00E27349" w:rsidRPr="00E27349" w:rsidRDefault="00E27349" w:rsidP="00E27349">
      <w:r w:rsidRPr="00E27349">
        <w:t>I’ll use shorter names of variables so the equations fit on a single line and only consider the equations for a single arm of a trial to simplify the notation. The same equations will apply to both treatment arms.</w:t>
      </w:r>
    </w:p>
    <w:p w:rsidR="00A719CC" w:rsidRDefault="00A719CC" w:rsidP="00C94A37"/>
    <w:p w:rsidR="00A719CC" w:rsidRDefault="00E27349" w:rsidP="00C94A37">
      <w:r>
        <w:t>T</w:t>
      </w:r>
      <w:r w:rsidR="00A719CC">
        <w:t xml:space="preserve">he standard </w:t>
      </w:r>
      <w:r>
        <w:t>K-M</w:t>
      </w:r>
      <w:r w:rsidR="00A719CC">
        <w:t xml:space="preserve"> limit formula is</w:t>
      </w:r>
    </w:p>
    <w:p w:rsidR="00A719CC" w:rsidRPr="00A719CC" w:rsidRDefault="00CF20AA" w:rsidP="00A719CC">
      <w:pPr>
        <w:spacing w:after="200" w:line="276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:rsidR="00E74074" w:rsidRDefault="009F2755" w:rsidP="00A719CC">
      <w:p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>w</w:t>
      </w:r>
      <w:r w:rsidR="00A719CC">
        <w:rPr>
          <w:rFonts w:eastAsiaTheme="minorEastAsia"/>
        </w:rPr>
        <w:t xml:space="preserve">here </w:t>
      </w:r>
    </w:p>
    <w:p w:rsidR="00E74074" w:rsidRDefault="00CF20AA" w:rsidP="008B515D">
      <w:pPr>
        <w:spacing w:line="276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A719CC">
        <w:t xml:space="preserve"> </w:t>
      </w:r>
      <w:r w:rsidR="00E74074">
        <w:t xml:space="preserve">is the survival (event-free) proportion at the start of time-points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</w:p>
    <w:p w:rsidR="00E74074" w:rsidRPr="00E74074" w:rsidRDefault="00CF20AA" w:rsidP="008B515D">
      <w:pPr>
        <w:spacing w:line="276" w:lineRule="auto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A719CC">
        <w:t xml:space="preserve"> </w:t>
      </w:r>
      <w:r w:rsidR="00E74074">
        <w:t xml:space="preserve">is the survival (event-free) proportion at the start of </w:t>
      </w:r>
      <w:r w:rsidR="008B515D">
        <w:t xml:space="preserve">the </w:t>
      </w:r>
      <w:r w:rsidR="00E74074">
        <w:t xml:space="preserve">adjacent time-point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E74074" w:rsidRPr="00E74074" w:rsidRDefault="00E74074" w:rsidP="008B515D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>T</w:t>
      </w:r>
      <w:r w:rsidR="00A719CC">
        <w:rPr>
          <w:rFonts w:eastAsiaTheme="minorEastAsia"/>
        </w:rPr>
        <w:t xml:space="preserve">here are no events nor patients censored between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E74074" w:rsidRPr="00E74074" w:rsidRDefault="00CF20AA" w:rsidP="008B515D">
      <w:pPr>
        <w:spacing w:line="276" w:lineRule="auto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A719CC">
        <w:t xml:space="preserve"> is the number at risk just before time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8B515D" w:rsidRDefault="00CF20AA" w:rsidP="008B515D">
      <w:pPr>
        <w:spacing w:line="276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A719CC">
        <w:t xml:space="preserve"> is the number of events </w:t>
      </w:r>
      <w:r w:rsidR="00A719CC" w:rsidRPr="00E27349">
        <w:rPr>
          <w:u w:val="single"/>
        </w:rPr>
        <w:t xml:space="preserve">at </w:t>
      </w:r>
      <w:r w:rsidR="00A719CC">
        <w:t xml:space="preserve">time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A719CC">
        <w:t xml:space="preserve">. </w:t>
      </w:r>
    </w:p>
    <w:p w:rsidR="008B515D" w:rsidRDefault="008B515D" w:rsidP="00A719CC">
      <w:pPr>
        <w:spacing w:after="200" w:line="276" w:lineRule="auto"/>
      </w:pPr>
    </w:p>
    <w:p w:rsidR="009F2755" w:rsidRPr="00E74074" w:rsidRDefault="00E27349" w:rsidP="00A719CC">
      <w:pPr>
        <w:spacing w:after="200" w:line="276" w:lineRule="auto"/>
        <w:rPr>
          <w:rFonts w:eastAsiaTheme="minorEastAsia"/>
        </w:rPr>
      </w:pPr>
      <w:r>
        <w:t>W</w:t>
      </w:r>
      <w:r w:rsidR="009F2755">
        <w:t xml:space="preserve">e are not observing events or censoring directly </w:t>
      </w:r>
      <w:r>
        <w:t>s</w:t>
      </w:r>
      <w:r w:rsidR="009F2755">
        <w:t>o, the equation becomes</w:t>
      </w:r>
    </w:p>
    <w:p w:rsidR="009F2755" w:rsidRPr="00500D3B" w:rsidRDefault="00CF20AA" w:rsidP="009400AF">
      <w:pPr>
        <w:spacing w:after="200" w:line="276" w:lineRule="auto"/>
        <w:jc w:val="center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bSup>
                </m:den>
              </m:f>
            </m:e>
          </m:d>
        </m:oMath>
      </m:oMathPara>
    </w:p>
    <w:p w:rsidR="00500D3B" w:rsidRPr="00500D3B" w:rsidRDefault="00500D3B" w:rsidP="008C1FD7">
      <w:pPr>
        <w:spacing w:after="200" w:line="276" w:lineRule="auto"/>
        <w:jc w:val="right"/>
        <w:rPr>
          <w:b/>
        </w:rPr>
      </w:pPr>
      <w:r w:rsidRPr="00500D3B">
        <w:rPr>
          <w:rFonts w:eastAsiaTheme="minorEastAsia"/>
          <w:b/>
        </w:rPr>
        <w:t xml:space="preserve">equation </w:t>
      </w:r>
      <w:r w:rsidR="00E27349">
        <w:rPr>
          <w:rFonts w:eastAsiaTheme="minorEastAsia"/>
          <w:b/>
        </w:rPr>
        <w:t>8</w:t>
      </w:r>
    </w:p>
    <w:p w:rsidR="008B515D" w:rsidRDefault="009F2755" w:rsidP="009F2755">
      <w:pPr>
        <w:spacing w:after="200" w:line="276" w:lineRule="auto"/>
      </w:pPr>
      <w:r>
        <w:lastRenderedPageBreak/>
        <w:t xml:space="preserve">where the stars indicate that the quantities were </w:t>
      </w:r>
      <w:r w:rsidRPr="008112F1">
        <w:rPr>
          <w:i/>
        </w:rPr>
        <w:t>not</w:t>
      </w:r>
      <w:r>
        <w:t xml:space="preserve"> observed at time-points corresponding to changes in the risk set. </w:t>
      </w:r>
    </w:p>
    <w:p w:rsidR="008B515D" w:rsidRPr="008B515D" w:rsidRDefault="00CF20AA" w:rsidP="008B515D">
      <w:pPr>
        <w:spacing w:line="276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 w:rsidR="009F2755">
        <w:t xml:space="preserve"> is the number of events since time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</w:p>
    <w:p w:rsidR="008B515D" w:rsidRDefault="00CF20AA" w:rsidP="008B515D">
      <w:pPr>
        <w:spacing w:line="276" w:lineRule="auto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 w:rsidR="009F2755">
        <w:t xml:space="preserve"> </w:t>
      </w:r>
      <w:r w:rsidR="00991F3E">
        <w:t xml:space="preserve">is </w:t>
      </w:r>
      <w:r w:rsidR="009F2755">
        <w:t xml:space="preserve">the number of censorings since time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</w:p>
    <w:p w:rsidR="009F2755" w:rsidRPr="008B515D" w:rsidRDefault="009F2755" w:rsidP="008B515D">
      <w:pPr>
        <w:spacing w:line="276" w:lineRule="auto"/>
        <w:rPr>
          <w:rFonts w:eastAsiaTheme="minorEastAsia"/>
        </w:rPr>
      </w:pPr>
      <w: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>
        <w:t xml:space="preserve"> is now the number of patients at risk since time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AE6091">
        <w:t xml:space="preserve">, </w:t>
      </w:r>
      <w:r w:rsidR="00500D3B">
        <w:t>adjust</w:t>
      </w:r>
      <w:r w:rsidR="00A344AF">
        <w:t>ed</w:t>
      </w:r>
      <w:r w:rsidR="00500D3B">
        <w:t xml:space="preserve"> </w:t>
      </w:r>
      <w:r>
        <w:t xml:space="preserve">for </w:t>
      </w:r>
      <w:proofErr w:type="gramStart"/>
      <w:r>
        <w:t>censoring.</w:t>
      </w:r>
      <w:proofErr w:type="gramEnd"/>
    </w:p>
    <w:p w:rsidR="008B515D" w:rsidRDefault="008B515D" w:rsidP="00C94A37"/>
    <w:p w:rsidR="008C1FD7" w:rsidRDefault="00E27349" w:rsidP="00C94A37">
      <w:r>
        <w:t>The method assumes that numbers at risk are known at a regularly spaced set of timepoints (an actuarial, life-table approach)</w:t>
      </w:r>
      <w:r w:rsidR="009400AF">
        <w:t xml:space="preserve"> and there is </w:t>
      </w:r>
      <w:r>
        <w:t>a constant rate of censoring within each time period. As those censored are only at risk for part of the interval it is assume</w:t>
      </w:r>
      <w:r w:rsidR="009400AF">
        <w:t>d</w:t>
      </w:r>
      <w:r>
        <w:t xml:space="preserve"> that censoring has the equivalent effect of half of them being at risk for the whole period:</w:t>
      </w:r>
    </w:p>
    <w:p w:rsidR="00E27349" w:rsidRDefault="00E27349" w:rsidP="00C94A37"/>
    <w:p w:rsidR="00DF124F" w:rsidRPr="00B95DAA" w:rsidRDefault="00CF20AA" w:rsidP="00DF124F">
      <w:pPr>
        <w:spacing w:after="200" w:line="276" w:lineRule="auto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</m:t>
          </m:r>
          <m:box>
            <m:boxPr>
              <m:ctrlPr>
                <w:rPr>
                  <w:rFonts w:ascii="Cambria Math" w:hAnsi="Cambria Math"/>
                  <w:i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box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</m:oMath>
      </m:oMathPara>
    </w:p>
    <w:p w:rsidR="00DF124F" w:rsidRPr="00500D3B" w:rsidRDefault="00DF124F" w:rsidP="00DF124F">
      <w:pPr>
        <w:spacing w:after="200" w:line="276" w:lineRule="auto"/>
        <w:jc w:val="right"/>
        <w:rPr>
          <w:b/>
        </w:rPr>
      </w:pPr>
      <w:r w:rsidRPr="00500D3B">
        <w:rPr>
          <w:rFonts w:eastAsiaTheme="minorEastAsia"/>
          <w:b/>
        </w:rPr>
        <w:t xml:space="preserve">equation </w:t>
      </w:r>
      <w:r>
        <w:rPr>
          <w:rFonts w:eastAsiaTheme="minorEastAsia"/>
          <w:b/>
        </w:rPr>
        <w:t>9</w:t>
      </w:r>
    </w:p>
    <w:p w:rsidR="00E27349" w:rsidRDefault="00DF124F" w:rsidP="00C94A37">
      <w:r>
        <w:t>Therefore, ‘fractional’ numbers at risk across the intervals are estimated rather than “effective</w:t>
      </w:r>
      <w:r w:rsidR="009400AF">
        <w:t>”</w:t>
      </w:r>
      <w:r>
        <w:t xml:space="preserve"> numbers </w:t>
      </w:r>
      <w:r w:rsidR="009400AF">
        <w:t xml:space="preserve">as described </w:t>
      </w:r>
      <w:hyperlink r:id="rId15" w:history="1">
        <w:r w:rsidRPr="00881083">
          <w:rPr>
            <w:rStyle w:val="Hyperlink"/>
          </w:rPr>
          <w:t>previously</w:t>
        </w:r>
      </w:hyperlink>
      <w:r>
        <w:t>.</w:t>
      </w:r>
    </w:p>
    <w:p w:rsidR="00E27349" w:rsidRDefault="00E27349" w:rsidP="00C94A37"/>
    <w:p w:rsidR="00B3015F" w:rsidRDefault="00455D1B" w:rsidP="00B3015F">
      <w:pPr>
        <w:spacing w:line="276" w:lineRule="auto"/>
        <w:rPr>
          <w:rFonts w:eastAsiaTheme="minorEastAsia"/>
        </w:rPr>
      </w:pPr>
      <w:r>
        <w:t>T</w:t>
      </w:r>
      <w:r w:rsidR="00DF124F">
        <w:t xml:space="preserve">he number at risk at the </w:t>
      </w:r>
      <w:r w:rsidR="00DF124F" w:rsidRPr="00EE64D8">
        <w:rPr>
          <w:i/>
        </w:rPr>
        <w:t>next</w:t>
      </w:r>
      <w:r w:rsidR="00DF124F">
        <w:t xml:space="preserve"> timepoint,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DF124F">
        <w:rPr>
          <w:rFonts w:eastAsiaTheme="minorEastAsia"/>
        </w:rPr>
        <w:t xml:space="preserve">is obtained by subtracting </w:t>
      </w:r>
      <w:r w:rsidR="00DF124F" w:rsidRPr="00EE64D8">
        <w:rPr>
          <w:rFonts w:eastAsiaTheme="minorEastAsia"/>
          <w:i/>
        </w:rPr>
        <w:t>all</w:t>
      </w:r>
      <w:r w:rsidR="00DF124F">
        <w:rPr>
          <w:rFonts w:eastAsiaTheme="minorEastAsia"/>
        </w:rPr>
        <w:t xml:space="preserve"> the censored patients </w:t>
      </w:r>
    </w:p>
    <w:p w:rsidR="008B515D" w:rsidRDefault="00DF124F" w:rsidP="00B3015F">
      <w:pPr>
        <w:spacing w:line="276" w:lineRule="auto"/>
        <w:rPr>
          <w:rFonts w:eastAsiaTheme="minorEastAsia"/>
        </w:rPr>
      </w:pPr>
      <w:proofErr w:type="gramStart"/>
      <w:r w:rsidRPr="00EE64D8">
        <w:rPr>
          <w:rFonts w:eastAsiaTheme="minorEastAsia"/>
          <w:i/>
        </w:rPr>
        <w:t>plus</w:t>
      </w:r>
      <w:proofErr w:type="gramEnd"/>
      <w:r>
        <w:rPr>
          <w:rFonts w:eastAsiaTheme="minorEastAsia"/>
        </w:rPr>
        <w:t xml:space="preserve"> the estimated number of events since </w:t>
      </w:r>
      <w:r>
        <w:t xml:space="preserve">time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455D1B">
        <w:rPr>
          <w:rFonts w:eastAsiaTheme="minorEastAsia"/>
        </w:rPr>
        <w:t>:</w:t>
      </w:r>
    </w:p>
    <w:p w:rsidR="00DF124F" w:rsidRDefault="00CF20AA" w:rsidP="00DF124F">
      <w:pPr>
        <w:spacing w:after="200" w:line="276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</m:oMath>
      </m:oMathPara>
    </w:p>
    <w:p w:rsidR="00E27349" w:rsidRDefault="00DF124F" w:rsidP="00DF124F">
      <w:pPr>
        <w:jc w:val="right"/>
        <w:rPr>
          <w:rFonts w:eastAsiaTheme="minorEastAsia"/>
          <w:b/>
        </w:rPr>
      </w:pPr>
      <w:r w:rsidRPr="00500D3B">
        <w:rPr>
          <w:rFonts w:eastAsiaTheme="minorEastAsia"/>
          <w:b/>
        </w:rPr>
        <w:t xml:space="preserve">equation </w:t>
      </w:r>
      <w:r>
        <w:rPr>
          <w:rFonts w:eastAsiaTheme="minorEastAsia"/>
          <w:b/>
        </w:rPr>
        <w:t>10</w:t>
      </w:r>
    </w:p>
    <w:p w:rsidR="00DF124F" w:rsidRDefault="00DF124F" w:rsidP="00DF124F">
      <w:pPr>
        <w:jc w:val="right"/>
        <w:rPr>
          <w:rFonts w:eastAsiaTheme="minorEastAsia"/>
          <w:b/>
        </w:rPr>
      </w:pPr>
    </w:p>
    <w:p w:rsidR="00DF124F" w:rsidRDefault="00DF124F" w:rsidP="00DF124F">
      <w:pPr>
        <w:jc w:val="left"/>
      </w:pPr>
      <w:r>
        <w:t xml:space="preserve">Rearrange equation 8 to calculate </w:t>
      </w:r>
    </w:p>
    <w:p w:rsidR="00DF124F" w:rsidRDefault="00CF20AA" w:rsidP="00C94A37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bSup>
                </m:e>
              </m:d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bSup>
            </m:den>
          </m:f>
        </m:oMath>
      </m:oMathPara>
    </w:p>
    <w:p w:rsidR="00DF124F" w:rsidRDefault="00DF124F" w:rsidP="00DF124F">
      <w:pPr>
        <w:jc w:val="right"/>
        <w:rPr>
          <w:rFonts w:eastAsiaTheme="minorEastAsia"/>
          <w:b/>
        </w:rPr>
      </w:pPr>
      <w:r w:rsidRPr="00500D3B">
        <w:rPr>
          <w:rFonts w:eastAsiaTheme="minorEastAsia"/>
          <w:b/>
        </w:rPr>
        <w:t xml:space="preserve">equation </w:t>
      </w:r>
      <w:r>
        <w:rPr>
          <w:rFonts w:eastAsiaTheme="minorEastAsia"/>
          <w:b/>
        </w:rPr>
        <w:t>11</w:t>
      </w:r>
    </w:p>
    <w:p w:rsidR="008B515D" w:rsidRDefault="008B515D" w:rsidP="00C94A37">
      <w:pPr>
        <w:rPr>
          <w:rFonts w:eastAsiaTheme="minorEastAsia"/>
        </w:rPr>
      </w:pPr>
      <w:r>
        <w:t xml:space="preserve">Rearrange equation 10 to calculate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</w:p>
    <w:p w:rsidR="008B515D" w:rsidRDefault="008B515D" w:rsidP="00C94A37">
      <w:pPr>
        <w:rPr>
          <w:rFonts w:eastAsiaTheme="minorEastAsia"/>
        </w:rPr>
      </w:pPr>
      <w:r>
        <w:rPr>
          <w:rFonts w:eastAsiaTheme="minorEastAsia"/>
        </w:rPr>
        <w:t xml:space="preserve">Rearrange equation 9 for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</w:p>
    <w:p w:rsidR="00DF124F" w:rsidRDefault="00DF124F" w:rsidP="00C94A37">
      <w:r>
        <w:t xml:space="preserve">Substitute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>
        <w:t xml:space="preserve"> </w:t>
      </w:r>
      <w:r w:rsidR="008B515D">
        <w:t xml:space="preserve">and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 xml:space="preserve"> </m:t>
        </m:r>
      </m:oMath>
      <w:r>
        <w:t xml:space="preserve">into equation 11 </w:t>
      </w:r>
      <w:r>
        <w:rPr>
          <w:rFonts w:eastAsiaTheme="minorEastAsia"/>
        </w:rPr>
        <w:t xml:space="preserve">and then rearrange </w:t>
      </w:r>
      <w:r w:rsidR="00B3015F">
        <w:rPr>
          <w:rFonts w:eastAsiaTheme="minorEastAsia"/>
        </w:rPr>
        <w:t>produces</w:t>
      </w:r>
    </w:p>
    <w:p w:rsidR="00DF124F" w:rsidRDefault="00DF124F" w:rsidP="00DF124F">
      <w:pPr>
        <w:rPr>
          <w:b/>
        </w:rPr>
      </w:pPr>
    </w:p>
    <w:p w:rsidR="00DF124F" w:rsidRDefault="00CF20AA" w:rsidP="00DF124F">
      <w:pPr>
        <w:rPr>
          <w:b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  <m:r>
            <w:rPr>
              <w:rFonts w:ascii="Cambria Math" w:eastAsia="Times New Roman" w:hAnsi="Cambria Math"/>
            </w:rPr>
            <m:t>=2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bSup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bSup>
            </m:den>
          </m:f>
        </m:oMath>
      </m:oMathPara>
    </w:p>
    <w:p w:rsidR="00DF124F" w:rsidRPr="00DF124F" w:rsidRDefault="00DF124F" w:rsidP="00DF124F">
      <w:r>
        <w:t>w</w:t>
      </w:r>
      <w:r w:rsidRPr="00DF124F">
        <w:t>hich is equation 3.</w:t>
      </w:r>
    </w:p>
    <w:p w:rsidR="00DF124F" w:rsidRDefault="00DF124F" w:rsidP="00DF124F"/>
    <w:p w:rsidR="00DF124F" w:rsidRDefault="00DF124F" w:rsidP="00DF124F">
      <w:pPr>
        <w:rPr>
          <w:rFonts w:eastAsiaTheme="minorEastAsia"/>
        </w:rPr>
      </w:pPr>
      <w:r w:rsidRPr="00DF124F">
        <w:t>Substitu</w:t>
      </w:r>
      <w:r>
        <w:t>t</w:t>
      </w:r>
      <w:r w:rsidRPr="00DF124F">
        <w:t xml:space="preserve">e equation 3 into equation </w:t>
      </w:r>
      <w:r>
        <w:t xml:space="preserve">10 and rearrange </w:t>
      </w:r>
      <w:r>
        <w:rPr>
          <w:rFonts w:eastAsiaTheme="minorEastAsia"/>
        </w:rPr>
        <w:t>produces</w:t>
      </w:r>
    </w:p>
    <w:p w:rsidR="00DF124F" w:rsidRPr="00DF124F" w:rsidRDefault="00DF124F" w:rsidP="00DF124F"/>
    <w:p w:rsidR="00DF124F" w:rsidRDefault="00CF20AA" w:rsidP="00DF124F">
      <w:pPr>
        <w:rPr>
          <w:b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bSup>
                </m:e>
              </m:d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bSup>
            </m:den>
          </m:f>
        </m:oMath>
      </m:oMathPara>
    </w:p>
    <w:p w:rsidR="00DF124F" w:rsidRDefault="00DF124F" w:rsidP="00DF124F">
      <w:r>
        <w:t>which is equation 2.</w:t>
      </w:r>
    </w:p>
    <w:p w:rsidR="00500762" w:rsidRDefault="00500762" w:rsidP="00DF124F"/>
    <w:p w:rsidR="00DF124F" w:rsidRDefault="00DF124F" w:rsidP="00DF124F">
      <w:pPr>
        <w:rPr>
          <w:rFonts w:eastAsiaTheme="minorEastAsia"/>
        </w:rPr>
      </w:pPr>
      <w:r w:rsidRPr="00DF124F">
        <w:t>Substitu</w:t>
      </w:r>
      <w:r>
        <w:t>t</w:t>
      </w:r>
      <w:r w:rsidRPr="00DF124F">
        <w:t xml:space="preserve">e equation </w:t>
      </w:r>
      <w:r w:rsidR="00500762">
        <w:t>2</w:t>
      </w:r>
      <w:r w:rsidRPr="00DF124F">
        <w:t xml:space="preserve"> into equation </w:t>
      </w:r>
      <w:r>
        <w:t>1</w:t>
      </w:r>
      <w:r w:rsidR="00500762">
        <w:t>1</w:t>
      </w:r>
      <w:r>
        <w:t xml:space="preserve"> and rearrange </w:t>
      </w:r>
      <w:r w:rsidR="00B3015F">
        <w:t>produces</w:t>
      </w:r>
      <w:r>
        <w:t xml:space="preserve"> </w:t>
      </w:r>
    </w:p>
    <w:p w:rsidR="00DF124F" w:rsidRPr="00500762" w:rsidRDefault="00CF20AA" w:rsidP="00DF124F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bSup>
            </m:den>
          </m:f>
        </m:oMath>
      </m:oMathPara>
    </w:p>
    <w:p w:rsidR="00500762" w:rsidRDefault="00500762" w:rsidP="00500762">
      <w:r>
        <w:t>which is equation 1.</w:t>
      </w:r>
    </w:p>
    <w:p w:rsidR="00DD6C8D" w:rsidRDefault="00DD6C8D" w:rsidP="00DF124F">
      <w:pPr>
        <w:rPr>
          <w:b/>
        </w:rPr>
      </w:pPr>
    </w:p>
    <w:p w:rsidR="00DF124F" w:rsidRPr="00500762" w:rsidRDefault="00500762" w:rsidP="00DF124F">
      <w:pPr>
        <w:rPr>
          <w:b/>
        </w:rPr>
      </w:pPr>
      <w:r w:rsidRPr="00500762">
        <w:rPr>
          <w:b/>
        </w:rPr>
        <w:t xml:space="preserve">To derive equations </w:t>
      </w:r>
      <w:r w:rsidR="00485A0A">
        <w:rPr>
          <w:b/>
        </w:rPr>
        <w:t>6</w:t>
      </w:r>
      <w:r w:rsidRPr="00500762">
        <w:rPr>
          <w:b/>
        </w:rPr>
        <w:t xml:space="preserve"> and </w:t>
      </w:r>
      <w:r w:rsidR="00485A0A">
        <w:rPr>
          <w:b/>
        </w:rPr>
        <w:t>7</w:t>
      </w:r>
      <w:r w:rsidRPr="00500762">
        <w:rPr>
          <w:b/>
        </w:rPr>
        <w:t>:</w:t>
      </w:r>
    </w:p>
    <w:p w:rsidR="00485A0A" w:rsidRDefault="00485A0A" w:rsidP="00DF124F"/>
    <w:p w:rsidR="00485A0A" w:rsidRDefault="00485A0A" w:rsidP="00DF124F">
      <w:r>
        <w:t>To simplify the notation, I’ll consider the whole follow</w:t>
      </w:r>
      <w:r w:rsidR="00991F3E">
        <w:t>-</w:t>
      </w:r>
      <w:r>
        <w:t xml:space="preserve">up period.  </w:t>
      </w:r>
    </w:p>
    <w:p w:rsidR="00DD6C8D" w:rsidRDefault="00485A0A" w:rsidP="00DF124F">
      <w:r>
        <w:t xml:space="preserve"> </w:t>
      </w:r>
    </w:p>
    <w:p w:rsidR="00500762" w:rsidRDefault="00CF20AA" w:rsidP="00DF124F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500762">
        <w:t xml:space="preserve"> </w:t>
      </w:r>
      <w:r w:rsidR="00991F3E">
        <w:t xml:space="preserve">is the </w:t>
      </w:r>
      <w:r w:rsidR="00500762">
        <w:t>expected number of events in the research group</w:t>
      </w:r>
    </w:p>
    <w:p w:rsidR="00500762" w:rsidRDefault="00CF20AA" w:rsidP="00500762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500762">
        <w:t xml:space="preserve"> </w:t>
      </w:r>
      <w:r w:rsidR="00991F3E">
        <w:t xml:space="preserve">is the </w:t>
      </w:r>
      <w:r w:rsidR="00500762">
        <w:t>expected number of events in the comparator group</w:t>
      </w:r>
    </w:p>
    <w:p w:rsidR="00500762" w:rsidRDefault="00CF20AA" w:rsidP="00500762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500762">
        <w:t xml:space="preserve"> </w:t>
      </w:r>
      <w:r w:rsidR="00991F3E">
        <w:t xml:space="preserve">is the </w:t>
      </w:r>
      <w:r w:rsidR="00500762">
        <w:t>number of events in the research group</w:t>
      </w:r>
    </w:p>
    <w:p w:rsidR="00500762" w:rsidRDefault="00CF20AA" w:rsidP="00500762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500762">
        <w:t xml:space="preserve"> </w:t>
      </w:r>
      <w:r w:rsidR="00991F3E">
        <w:t xml:space="preserve">is the </w:t>
      </w:r>
      <w:r w:rsidR="00500762">
        <w:t>number of events in the comparator group</w:t>
      </w:r>
    </w:p>
    <w:p w:rsidR="00500762" w:rsidRDefault="00CF20AA" w:rsidP="00500762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500762">
        <w:t xml:space="preserve"> </w:t>
      </w:r>
      <w:r w:rsidR="00991F3E">
        <w:t xml:space="preserve">is the </w:t>
      </w:r>
      <w:r w:rsidR="00500762">
        <w:t>number in the research group</w:t>
      </w:r>
    </w:p>
    <w:p w:rsidR="00500762" w:rsidRDefault="00CF20AA" w:rsidP="00500762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500762">
        <w:t xml:space="preserve"> </w:t>
      </w:r>
      <w:r w:rsidR="00991F3E">
        <w:t xml:space="preserve">is the </w:t>
      </w:r>
      <w:r w:rsidR="00500762">
        <w:t>number in the comparator group</w:t>
      </w:r>
    </w:p>
    <w:p w:rsidR="00485A0A" w:rsidRDefault="00485A0A" w:rsidP="00DF124F"/>
    <w:p w:rsidR="00500762" w:rsidRDefault="00485A0A" w:rsidP="00DF124F">
      <w:r>
        <w:t>Tierney et al refer to a</w:t>
      </w:r>
      <w:r w:rsidR="00500762">
        <w:t xml:space="preserve"> direct method of calculating the variance </w:t>
      </w:r>
      <w:r>
        <w:t>a</w:t>
      </w:r>
      <w:r w:rsidR="00500762">
        <w:t xml:space="preserve">s </w:t>
      </w:r>
    </w:p>
    <w:p w:rsidR="00500762" w:rsidRPr="00DF124F" w:rsidRDefault="00500762" w:rsidP="00DF124F">
      <m:oMathPara>
        <m:oMath>
          <m: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</m:oMath>
      </m:oMathPara>
    </w:p>
    <w:p w:rsidR="00500762" w:rsidRDefault="00500762" w:rsidP="00500762">
      <w:pPr>
        <w:jc w:val="right"/>
        <w:rPr>
          <w:b/>
        </w:rPr>
      </w:pPr>
      <w:r>
        <w:rPr>
          <w:b/>
        </w:rPr>
        <w:t>equation 12</w:t>
      </w:r>
    </w:p>
    <w:p w:rsidR="00500762" w:rsidRDefault="00500762" w:rsidP="00DF124F">
      <w:pPr>
        <w:rPr>
          <w:b/>
        </w:rPr>
      </w:pPr>
    </w:p>
    <w:p w:rsidR="00500762" w:rsidRPr="00500762" w:rsidRDefault="00500762" w:rsidP="00DF124F">
      <w:r w:rsidRPr="00500762">
        <w:t>As in equation 5</w:t>
      </w:r>
    </w:p>
    <w:p w:rsidR="00500762" w:rsidRDefault="00CF20AA" w:rsidP="00DF124F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)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</m:oMath>
      </m:oMathPara>
    </w:p>
    <w:p w:rsidR="009F27EE" w:rsidRDefault="009F27EE" w:rsidP="009F27EE">
      <w:pPr>
        <w:jc w:val="right"/>
        <w:rPr>
          <w:b/>
        </w:rPr>
      </w:pPr>
      <w:r>
        <w:rPr>
          <w:b/>
        </w:rPr>
        <w:t>equation 13</w:t>
      </w:r>
    </w:p>
    <w:p w:rsidR="009F27EE" w:rsidRDefault="00CF20AA" w:rsidP="009F27EE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)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</m:oMath>
      </m:oMathPara>
    </w:p>
    <w:p w:rsidR="009F27EE" w:rsidRDefault="009F27EE" w:rsidP="009F27EE">
      <w:pPr>
        <w:jc w:val="right"/>
        <w:rPr>
          <w:b/>
        </w:rPr>
      </w:pPr>
      <w:r>
        <w:rPr>
          <w:b/>
        </w:rPr>
        <w:t>equation 14</w:t>
      </w:r>
    </w:p>
    <w:p w:rsidR="00500762" w:rsidRDefault="009F27EE" w:rsidP="00DF124F">
      <w:r>
        <w:t>Substitute equations 13 and 14 into equation 12</w:t>
      </w:r>
    </w:p>
    <w:p w:rsidR="009F27EE" w:rsidRDefault="009F27EE" w:rsidP="00DF124F"/>
    <w:p w:rsidR="009F27EE" w:rsidRDefault="009F27EE" w:rsidP="009F27EE">
      <m:oMathPara>
        <m:oMath>
          <m:r>
            <w:rPr>
              <w:rFonts w:ascii="Cambria Math" w:hAnsi="Cambria Math"/>
            </w:rPr>
            <m:t>V=(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)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9F27EE" w:rsidRDefault="009F27EE" w:rsidP="00DF124F"/>
    <w:p w:rsidR="009F27EE" w:rsidRDefault="009F27EE" w:rsidP="00DF124F">
      <w:r>
        <w:t xml:space="preserve">This is equation </w:t>
      </w:r>
      <w:r w:rsidR="00485A0A">
        <w:t>6</w:t>
      </w:r>
      <w:r>
        <w:t>.</w:t>
      </w:r>
    </w:p>
    <w:p w:rsidR="009400AF" w:rsidRDefault="009400AF" w:rsidP="00DF124F"/>
    <w:p w:rsidR="009F27EE" w:rsidRDefault="009F27EE" w:rsidP="00DF124F">
      <w:pPr>
        <w:rPr>
          <w:rFonts w:eastAsiaTheme="minorEastAsia"/>
        </w:rPr>
      </w:pPr>
      <w:r>
        <w:t xml:space="preserve">If the randomisation ratio is 1:1 then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=N</m:t>
        </m:r>
      </m:oMath>
      <w:r>
        <w:rPr>
          <w:rFonts w:eastAsiaTheme="minorEastAsia"/>
        </w:rPr>
        <w:t xml:space="preserve"> and equation 7 becomes </w:t>
      </w:r>
    </w:p>
    <w:p w:rsidR="009F27EE" w:rsidRDefault="009F27EE" w:rsidP="009F27EE">
      <m:oMathPara>
        <m:oMath>
          <m:r>
            <w:rPr>
              <w:rFonts w:ascii="Cambria Math" w:hAnsi="Cambria Math"/>
            </w:rPr>
            <m:t>V=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9F27EE" w:rsidRDefault="009F27EE" w:rsidP="00DF124F"/>
    <w:p w:rsidR="00500762" w:rsidRDefault="009F27EE" w:rsidP="00DF124F">
      <w:r>
        <w:lastRenderedPageBreak/>
        <w:t>This is equation 8.</w:t>
      </w:r>
    </w:p>
    <w:p w:rsidR="009400AF" w:rsidRPr="00500762" w:rsidRDefault="009400AF" w:rsidP="00DF124F"/>
    <w:p w:rsidR="00DF124F" w:rsidRDefault="00DF124F" w:rsidP="00DF124F">
      <w:pPr>
        <w:rPr>
          <w:b/>
        </w:rPr>
      </w:pPr>
      <w:r>
        <w:rPr>
          <w:b/>
        </w:rPr>
        <w:t>Kat</w:t>
      </w:r>
      <w:r w:rsidR="00F61465">
        <w:rPr>
          <w:b/>
        </w:rPr>
        <w:t xml:space="preserve">hy Taylor teaches data extraction in Meta-analysis, </w:t>
      </w:r>
    </w:p>
    <w:p w:rsidR="00F61465" w:rsidRDefault="00CF20AA" w:rsidP="00DF124F">
      <w:pPr>
        <w:rPr>
          <w:b/>
        </w:rPr>
      </w:pPr>
      <w:hyperlink r:id="rId16" w:history="1">
        <w:r w:rsidR="00F61465" w:rsidRPr="00444C0C">
          <w:rPr>
            <w:rStyle w:val="Hyperlink"/>
            <w:b/>
          </w:rPr>
          <w:t>https://www.conted.ox.ac.uk/courses/meta-analysis&lt;/link</w:t>
        </w:r>
      </w:hyperlink>
      <w:r w:rsidR="00F61465">
        <w:rPr>
          <w:b/>
        </w:rPr>
        <w:t xml:space="preserve">&gt; This is a short course that is also available as part of our MSc in Evidence-Based Health Care </w:t>
      </w:r>
    </w:p>
    <w:p w:rsidR="00F61465" w:rsidRDefault="00CF20AA" w:rsidP="00F61465">
      <w:pPr>
        <w:jc w:val="left"/>
        <w:rPr>
          <w:b/>
        </w:rPr>
      </w:pPr>
      <w:hyperlink r:id="rId17" w:history="1">
        <w:r w:rsidR="00F61465" w:rsidRPr="00444C0C">
          <w:rPr>
            <w:rStyle w:val="Hyperlink"/>
            <w:b/>
          </w:rPr>
          <w:t>https://www.conted.ox.ac.uk/about/msc-in-evidence-based-health-care</w:t>
        </w:r>
      </w:hyperlink>
      <w:r w:rsidR="00F61465">
        <w:rPr>
          <w:b/>
        </w:rPr>
        <w:t xml:space="preserve">, MSc in Medical Statistics </w:t>
      </w:r>
    </w:p>
    <w:p w:rsidR="00F61465" w:rsidRDefault="00CF20AA" w:rsidP="00F61465">
      <w:pPr>
        <w:jc w:val="left"/>
        <w:rPr>
          <w:b/>
        </w:rPr>
      </w:pPr>
      <w:hyperlink r:id="rId18" w:history="1">
        <w:r w:rsidR="00F61465" w:rsidRPr="00444C0C">
          <w:rPr>
            <w:rStyle w:val="Hyperlink"/>
            <w:b/>
          </w:rPr>
          <w:t>https://www.conted.ox.ac.uk/about/msc-in-ebhc-medical-statistics</w:t>
        </w:r>
      </w:hyperlink>
      <w:r w:rsidR="00F61465">
        <w:rPr>
          <w:b/>
        </w:rPr>
        <w:t xml:space="preserve">, and MSc in Systematic Reviews </w:t>
      </w:r>
    </w:p>
    <w:p w:rsidR="00F61465" w:rsidRDefault="00CF20AA" w:rsidP="00F61465">
      <w:pPr>
        <w:jc w:val="left"/>
        <w:rPr>
          <w:b/>
        </w:rPr>
      </w:pPr>
      <w:hyperlink r:id="rId19" w:history="1">
        <w:r w:rsidR="00F61465" w:rsidRPr="00444C0C">
          <w:rPr>
            <w:rStyle w:val="Hyperlink"/>
            <w:b/>
          </w:rPr>
          <w:t>https://www.conted.ox.ac.uk/about/msc-in-ebhc-systematic-reviews</w:t>
        </w:r>
      </w:hyperlink>
    </w:p>
    <w:p w:rsidR="00F61465" w:rsidRDefault="00F61465" w:rsidP="00F61465">
      <w:pPr>
        <w:rPr>
          <w:b/>
        </w:rPr>
      </w:pPr>
    </w:p>
    <w:p w:rsidR="000F3DCD" w:rsidRDefault="00BD7B32" w:rsidP="00925B59">
      <w:r w:rsidRPr="00BD7B32">
        <w:rPr>
          <w:b/>
        </w:rPr>
        <w:t>Follow me on Twitter @</w:t>
      </w:r>
      <w:proofErr w:type="spellStart"/>
      <w:r w:rsidRPr="00BD7B32">
        <w:rPr>
          <w:b/>
        </w:rPr>
        <w:t>dataextips</w:t>
      </w:r>
      <w:proofErr w:type="spellEnd"/>
      <w:r w:rsidRPr="00BD7B32">
        <w:rPr>
          <w:b/>
        </w:rPr>
        <w:t xml:space="preserve"> for updates on my blog, related news, and to find out about other examples of statistics being made more broadly accessible.</w:t>
      </w:r>
    </w:p>
    <w:sectPr w:rsidR="000F3DCD" w:rsidSect="00E714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1761"/>
    <w:multiLevelType w:val="hybridMultilevel"/>
    <w:tmpl w:val="17F6B46A"/>
    <w:lvl w:ilvl="0" w:tplc="0C6CFC8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8060E"/>
    <w:multiLevelType w:val="hybridMultilevel"/>
    <w:tmpl w:val="FD043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1397"/>
    <w:multiLevelType w:val="hybridMultilevel"/>
    <w:tmpl w:val="31CEF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6070"/>
    <w:multiLevelType w:val="hybridMultilevel"/>
    <w:tmpl w:val="53067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21220"/>
    <w:multiLevelType w:val="hybridMultilevel"/>
    <w:tmpl w:val="E7CE8B7C"/>
    <w:lvl w:ilvl="0" w:tplc="6C50D1B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C6051"/>
    <w:multiLevelType w:val="hybridMultilevel"/>
    <w:tmpl w:val="B00A197E"/>
    <w:lvl w:ilvl="0" w:tplc="7180AB6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22375866"/>
    <w:multiLevelType w:val="hybridMultilevel"/>
    <w:tmpl w:val="04046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958F7"/>
    <w:multiLevelType w:val="hybridMultilevel"/>
    <w:tmpl w:val="76924C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67AE1"/>
    <w:multiLevelType w:val="hybridMultilevel"/>
    <w:tmpl w:val="918AF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D39B5"/>
    <w:multiLevelType w:val="hybridMultilevel"/>
    <w:tmpl w:val="793682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E525FC"/>
    <w:multiLevelType w:val="hybridMultilevel"/>
    <w:tmpl w:val="BE6A91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F26324"/>
    <w:multiLevelType w:val="hybridMultilevel"/>
    <w:tmpl w:val="51ACA134"/>
    <w:lvl w:ilvl="0" w:tplc="C6DECD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20066"/>
    <w:multiLevelType w:val="hybridMultilevel"/>
    <w:tmpl w:val="11203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3544C"/>
    <w:multiLevelType w:val="hybridMultilevel"/>
    <w:tmpl w:val="02746AA8"/>
    <w:lvl w:ilvl="0" w:tplc="7180AB6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3B84751F"/>
    <w:multiLevelType w:val="hybridMultilevel"/>
    <w:tmpl w:val="FBE41A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F6296"/>
    <w:multiLevelType w:val="hybridMultilevel"/>
    <w:tmpl w:val="63C02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1664E"/>
    <w:multiLevelType w:val="hybridMultilevel"/>
    <w:tmpl w:val="EE5AA662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1E1A44"/>
    <w:multiLevelType w:val="hybridMultilevel"/>
    <w:tmpl w:val="716E16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2C0092"/>
    <w:multiLevelType w:val="hybridMultilevel"/>
    <w:tmpl w:val="C0A2A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27352"/>
    <w:multiLevelType w:val="hybridMultilevel"/>
    <w:tmpl w:val="C7F46D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8"/>
  </w:num>
  <w:num w:numId="5">
    <w:abstractNumId w:val="12"/>
  </w:num>
  <w:num w:numId="6">
    <w:abstractNumId w:val="8"/>
  </w:num>
  <w:num w:numId="7">
    <w:abstractNumId w:val="9"/>
  </w:num>
  <w:num w:numId="8">
    <w:abstractNumId w:val="4"/>
  </w:num>
  <w:num w:numId="9">
    <w:abstractNumId w:val="16"/>
  </w:num>
  <w:num w:numId="10">
    <w:abstractNumId w:val="11"/>
  </w:num>
  <w:num w:numId="11">
    <w:abstractNumId w:val="3"/>
  </w:num>
  <w:num w:numId="12">
    <w:abstractNumId w:val="6"/>
  </w:num>
  <w:num w:numId="13">
    <w:abstractNumId w:val="2"/>
  </w:num>
  <w:num w:numId="14">
    <w:abstractNumId w:val="15"/>
  </w:num>
  <w:num w:numId="15">
    <w:abstractNumId w:val="13"/>
  </w:num>
  <w:num w:numId="16">
    <w:abstractNumId w:val="5"/>
  </w:num>
  <w:num w:numId="17">
    <w:abstractNumId w:val="10"/>
  </w:num>
  <w:num w:numId="18">
    <w:abstractNumId w:val="17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A0"/>
    <w:rsid w:val="00005DCF"/>
    <w:rsid w:val="00007277"/>
    <w:rsid w:val="0000797F"/>
    <w:rsid w:val="00010602"/>
    <w:rsid w:val="000166EB"/>
    <w:rsid w:val="00024A49"/>
    <w:rsid w:val="00025D32"/>
    <w:rsid w:val="00030E37"/>
    <w:rsid w:val="0003161B"/>
    <w:rsid w:val="00035860"/>
    <w:rsid w:val="00037D0B"/>
    <w:rsid w:val="00041E32"/>
    <w:rsid w:val="0004354A"/>
    <w:rsid w:val="0004465B"/>
    <w:rsid w:val="000502DA"/>
    <w:rsid w:val="00050B30"/>
    <w:rsid w:val="000523DB"/>
    <w:rsid w:val="00056D84"/>
    <w:rsid w:val="00061BC8"/>
    <w:rsid w:val="00062810"/>
    <w:rsid w:val="00065AB9"/>
    <w:rsid w:val="0006601D"/>
    <w:rsid w:val="00072AB2"/>
    <w:rsid w:val="00072FF1"/>
    <w:rsid w:val="00081903"/>
    <w:rsid w:val="000873ED"/>
    <w:rsid w:val="000875BC"/>
    <w:rsid w:val="00095DF1"/>
    <w:rsid w:val="000A31E7"/>
    <w:rsid w:val="000A72C7"/>
    <w:rsid w:val="000A731B"/>
    <w:rsid w:val="000B061E"/>
    <w:rsid w:val="000B2B26"/>
    <w:rsid w:val="000B564A"/>
    <w:rsid w:val="000C0658"/>
    <w:rsid w:val="000C3186"/>
    <w:rsid w:val="000C519C"/>
    <w:rsid w:val="000C528B"/>
    <w:rsid w:val="000C5427"/>
    <w:rsid w:val="000D08E4"/>
    <w:rsid w:val="000D1CF9"/>
    <w:rsid w:val="000D6955"/>
    <w:rsid w:val="000E1D35"/>
    <w:rsid w:val="000F327C"/>
    <w:rsid w:val="000F3DCD"/>
    <w:rsid w:val="0011090E"/>
    <w:rsid w:val="001125AC"/>
    <w:rsid w:val="00112F97"/>
    <w:rsid w:val="001217CF"/>
    <w:rsid w:val="001262E9"/>
    <w:rsid w:val="001277B5"/>
    <w:rsid w:val="001308B0"/>
    <w:rsid w:val="00131C6D"/>
    <w:rsid w:val="001343CE"/>
    <w:rsid w:val="0013591A"/>
    <w:rsid w:val="0013668A"/>
    <w:rsid w:val="00140A00"/>
    <w:rsid w:val="001414A0"/>
    <w:rsid w:val="00144D03"/>
    <w:rsid w:val="001475B0"/>
    <w:rsid w:val="001515EB"/>
    <w:rsid w:val="00157A7E"/>
    <w:rsid w:val="00164538"/>
    <w:rsid w:val="00165841"/>
    <w:rsid w:val="00165953"/>
    <w:rsid w:val="001702A7"/>
    <w:rsid w:val="00171703"/>
    <w:rsid w:val="0017670D"/>
    <w:rsid w:val="00183FFD"/>
    <w:rsid w:val="00185EA5"/>
    <w:rsid w:val="00191078"/>
    <w:rsid w:val="00197F74"/>
    <w:rsid w:val="001A2BE8"/>
    <w:rsid w:val="001A5106"/>
    <w:rsid w:val="001A583D"/>
    <w:rsid w:val="001A75D3"/>
    <w:rsid w:val="001B37DD"/>
    <w:rsid w:val="001B45DE"/>
    <w:rsid w:val="001B54D2"/>
    <w:rsid w:val="001B563F"/>
    <w:rsid w:val="001B5AA9"/>
    <w:rsid w:val="001C0913"/>
    <w:rsid w:val="001C09D5"/>
    <w:rsid w:val="001C1D89"/>
    <w:rsid w:val="001C4A6A"/>
    <w:rsid w:val="001C731A"/>
    <w:rsid w:val="001D19F8"/>
    <w:rsid w:val="001D2705"/>
    <w:rsid w:val="001D30D1"/>
    <w:rsid w:val="001D7919"/>
    <w:rsid w:val="001E0DB4"/>
    <w:rsid w:val="001E0FD3"/>
    <w:rsid w:val="001F00A0"/>
    <w:rsid w:val="001F095B"/>
    <w:rsid w:val="001F2235"/>
    <w:rsid w:val="001F25CC"/>
    <w:rsid w:val="001F2B01"/>
    <w:rsid w:val="001F397C"/>
    <w:rsid w:val="001F7A59"/>
    <w:rsid w:val="002008C2"/>
    <w:rsid w:val="0020157D"/>
    <w:rsid w:val="0020284E"/>
    <w:rsid w:val="00216E95"/>
    <w:rsid w:val="0021794F"/>
    <w:rsid w:val="0022029A"/>
    <w:rsid w:val="00222B84"/>
    <w:rsid w:val="00226CC2"/>
    <w:rsid w:val="00245ECE"/>
    <w:rsid w:val="00247EFF"/>
    <w:rsid w:val="00250544"/>
    <w:rsid w:val="0027393E"/>
    <w:rsid w:val="00274D67"/>
    <w:rsid w:val="00283E44"/>
    <w:rsid w:val="002847A0"/>
    <w:rsid w:val="00285A6D"/>
    <w:rsid w:val="002860CD"/>
    <w:rsid w:val="002922C3"/>
    <w:rsid w:val="00296359"/>
    <w:rsid w:val="002967CB"/>
    <w:rsid w:val="002A0714"/>
    <w:rsid w:val="002A18FE"/>
    <w:rsid w:val="002A3B34"/>
    <w:rsid w:val="002A4644"/>
    <w:rsid w:val="002A6654"/>
    <w:rsid w:val="002A777A"/>
    <w:rsid w:val="002B05DD"/>
    <w:rsid w:val="002B640D"/>
    <w:rsid w:val="002B6D91"/>
    <w:rsid w:val="002C35B6"/>
    <w:rsid w:val="002C4633"/>
    <w:rsid w:val="002D00A3"/>
    <w:rsid w:val="002D20F7"/>
    <w:rsid w:val="002D27D1"/>
    <w:rsid w:val="002D3704"/>
    <w:rsid w:val="002D5228"/>
    <w:rsid w:val="002E2506"/>
    <w:rsid w:val="002E4DD4"/>
    <w:rsid w:val="002E5A7E"/>
    <w:rsid w:val="002F1085"/>
    <w:rsid w:val="002F1FBB"/>
    <w:rsid w:val="002F4EAE"/>
    <w:rsid w:val="002F73EC"/>
    <w:rsid w:val="00302055"/>
    <w:rsid w:val="00305F0E"/>
    <w:rsid w:val="0031499C"/>
    <w:rsid w:val="00316795"/>
    <w:rsid w:val="003169B9"/>
    <w:rsid w:val="00322064"/>
    <w:rsid w:val="003230C6"/>
    <w:rsid w:val="00325ADC"/>
    <w:rsid w:val="00326E04"/>
    <w:rsid w:val="00327771"/>
    <w:rsid w:val="00327AAA"/>
    <w:rsid w:val="00331DBD"/>
    <w:rsid w:val="00333909"/>
    <w:rsid w:val="003378D4"/>
    <w:rsid w:val="003463E4"/>
    <w:rsid w:val="00346A32"/>
    <w:rsid w:val="0035264A"/>
    <w:rsid w:val="00352BF0"/>
    <w:rsid w:val="003629B6"/>
    <w:rsid w:val="003714ED"/>
    <w:rsid w:val="0037154F"/>
    <w:rsid w:val="00371AC8"/>
    <w:rsid w:val="00371AF1"/>
    <w:rsid w:val="00372EAD"/>
    <w:rsid w:val="0037395B"/>
    <w:rsid w:val="003741E8"/>
    <w:rsid w:val="0037488E"/>
    <w:rsid w:val="003756DE"/>
    <w:rsid w:val="00375F9E"/>
    <w:rsid w:val="00376680"/>
    <w:rsid w:val="0039100C"/>
    <w:rsid w:val="0039219A"/>
    <w:rsid w:val="0039648E"/>
    <w:rsid w:val="003A0C28"/>
    <w:rsid w:val="003A6B09"/>
    <w:rsid w:val="003B340D"/>
    <w:rsid w:val="003B4968"/>
    <w:rsid w:val="003D14AE"/>
    <w:rsid w:val="003D47F3"/>
    <w:rsid w:val="003D5A94"/>
    <w:rsid w:val="003E240A"/>
    <w:rsid w:val="003E34A4"/>
    <w:rsid w:val="003E5601"/>
    <w:rsid w:val="003E68DD"/>
    <w:rsid w:val="003F06CB"/>
    <w:rsid w:val="003F3B5D"/>
    <w:rsid w:val="00402452"/>
    <w:rsid w:val="00403123"/>
    <w:rsid w:val="00405021"/>
    <w:rsid w:val="00412A76"/>
    <w:rsid w:val="0042573B"/>
    <w:rsid w:val="00430366"/>
    <w:rsid w:val="00430A6F"/>
    <w:rsid w:val="004342E0"/>
    <w:rsid w:val="00442D5B"/>
    <w:rsid w:val="00443AAC"/>
    <w:rsid w:val="004448E9"/>
    <w:rsid w:val="00455569"/>
    <w:rsid w:val="00455882"/>
    <w:rsid w:val="00455D1B"/>
    <w:rsid w:val="00466561"/>
    <w:rsid w:val="0046759A"/>
    <w:rsid w:val="00470492"/>
    <w:rsid w:val="00474C66"/>
    <w:rsid w:val="0047759D"/>
    <w:rsid w:val="00477F28"/>
    <w:rsid w:val="00480965"/>
    <w:rsid w:val="00482557"/>
    <w:rsid w:val="00485A0A"/>
    <w:rsid w:val="00492259"/>
    <w:rsid w:val="004930C2"/>
    <w:rsid w:val="00496808"/>
    <w:rsid w:val="004A2803"/>
    <w:rsid w:val="004B06A1"/>
    <w:rsid w:val="004B404C"/>
    <w:rsid w:val="004B6831"/>
    <w:rsid w:val="004C04E1"/>
    <w:rsid w:val="004C3AAA"/>
    <w:rsid w:val="004C4709"/>
    <w:rsid w:val="004C65A1"/>
    <w:rsid w:val="004D561C"/>
    <w:rsid w:val="004E0CBB"/>
    <w:rsid w:val="004E32DC"/>
    <w:rsid w:val="004F5412"/>
    <w:rsid w:val="004F568B"/>
    <w:rsid w:val="004F7602"/>
    <w:rsid w:val="004F7EA9"/>
    <w:rsid w:val="00500277"/>
    <w:rsid w:val="00500762"/>
    <w:rsid w:val="00500D3B"/>
    <w:rsid w:val="00510A34"/>
    <w:rsid w:val="00511305"/>
    <w:rsid w:val="005135D8"/>
    <w:rsid w:val="00514AB0"/>
    <w:rsid w:val="00514E60"/>
    <w:rsid w:val="00517F83"/>
    <w:rsid w:val="00523341"/>
    <w:rsid w:val="005248F0"/>
    <w:rsid w:val="005267FD"/>
    <w:rsid w:val="00527ABA"/>
    <w:rsid w:val="00532FDC"/>
    <w:rsid w:val="00540B55"/>
    <w:rsid w:val="005446D3"/>
    <w:rsid w:val="005523EE"/>
    <w:rsid w:val="005566AB"/>
    <w:rsid w:val="005616A9"/>
    <w:rsid w:val="00562630"/>
    <w:rsid w:val="00566187"/>
    <w:rsid w:val="00567608"/>
    <w:rsid w:val="005742E7"/>
    <w:rsid w:val="00574A6C"/>
    <w:rsid w:val="00575FDF"/>
    <w:rsid w:val="00580CC5"/>
    <w:rsid w:val="00581F4D"/>
    <w:rsid w:val="00584992"/>
    <w:rsid w:val="00586C33"/>
    <w:rsid w:val="0059005A"/>
    <w:rsid w:val="0059269E"/>
    <w:rsid w:val="00594337"/>
    <w:rsid w:val="0059771F"/>
    <w:rsid w:val="005979A9"/>
    <w:rsid w:val="005B149D"/>
    <w:rsid w:val="005C1FAD"/>
    <w:rsid w:val="005C4BFF"/>
    <w:rsid w:val="005D01F7"/>
    <w:rsid w:val="005D4C2D"/>
    <w:rsid w:val="005D5D23"/>
    <w:rsid w:val="005D7C92"/>
    <w:rsid w:val="005E156D"/>
    <w:rsid w:val="005E3D36"/>
    <w:rsid w:val="005E647D"/>
    <w:rsid w:val="005E7D5C"/>
    <w:rsid w:val="005F0D8F"/>
    <w:rsid w:val="00601B4F"/>
    <w:rsid w:val="006041C7"/>
    <w:rsid w:val="0060455E"/>
    <w:rsid w:val="00604F45"/>
    <w:rsid w:val="00610D02"/>
    <w:rsid w:val="006162AD"/>
    <w:rsid w:val="00622C71"/>
    <w:rsid w:val="00623B6F"/>
    <w:rsid w:val="0063042C"/>
    <w:rsid w:val="00631529"/>
    <w:rsid w:val="00632A33"/>
    <w:rsid w:val="00636A06"/>
    <w:rsid w:val="00640002"/>
    <w:rsid w:val="0064497F"/>
    <w:rsid w:val="00644AFB"/>
    <w:rsid w:val="006505D4"/>
    <w:rsid w:val="006517F8"/>
    <w:rsid w:val="00660211"/>
    <w:rsid w:val="00662E2B"/>
    <w:rsid w:val="00664E79"/>
    <w:rsid w:val="00664EF0"/>
    <w:rsid w:val="0066578C"/>
    <w:rsid w:val="00670A0B"/>
    <w:rsid w:val="00670C56"/>
    <w:rsid w:val="006724E5"/>
    <w:rsid w:val="00683F04"/>
    <w:rsid w:val="00684A6F"/>
    <w:rsid w:val="00690B8B"/>
    <w:rsid w:val="00695E8A"/>
    <w:rsid w:val="00697D55"/>
    <w:rsid w:val="006A4B78"/>
    <w:rsid w:val="006A548C"/>
    <w:rsid w:val="006A5B31"/>
    <w:rsid w:val="006A7260"/>
    <w:rsid w:val="006B41EB"/>
    <w:rsid w:val="006B5447"/>
    <w:rsid w:val="006B67B7"/>
    <w:rsid w:val="006C0482"/>
    <w:rsid w:val="006C1360"/>
    <w:rsid w:val="006C37E2"/>
    <w:rsid w:val="006D5E66"/>
    <w:rsid w:val="006E198A"/>
    <w:rsid w:val="006E1FB0"/>
    <w:rsid w:val="006F42E7"/>
    <w:rsid w:val="00701C19"/>
    <w:rsid w:val="00703E3B"/>
    <w:rsid w:val="0070544B"/>
    <w:rsid w:val="007072BF"/>
    <w:rsid w:val="00707F90"/>
    <w:rsid w:val="0071198B"/>
    <w:rsid w:val="00715001"/>
    <w:rsid w:val="00741062"/>
    <w:rsid w:val="007454BA"/>
    <w:rsid w:val="007551F4"/>
    <w:rsid w:val="0076053F"/>
    <w:rsid w:val="0076324B"/>
    <w:rsid w:val="00767585"/>
    <w:rsid w:val="0077176A"/>
    <w:rsid w:val="00772FB5"/>
    <w:rsid w:val="007744C9"/>
    <w:rsid w:val="00782E0A"/>
    <w:rsid w:val="00786B52"/>
    <w:rsid w:val="00787B18"/>
    <w:rsid w:val="00787CB8"/>
    <w:rsid w:val="007964D5"/>
    <w:rsid w:val="00796E1A"/>
    <w:rsid w:val="007A3045"/>
    <w:rsid w:val="007C02D0"/>
    <w:rsid w:val="007C6129"/>
    <w:rsid w:val="007C7BAA"/>
    <w:rsid w:val="007D6359"/>
    <w:rsid w:val="007D70DB"/>
    <w:rsid w:val="007E61F6"/>
    <w:rsid w:val="007F169E"/>
    <w:rsid w:val="007F2D71"/>
    <w:rsid w:val="007F6A87"/>
    <w:rsid w:val="00801468"/>
    <w:rsid w:val="0080752B"/>
    <w:rsid w:val="008076C7"/>
    <w:rsid w:val="00814813"/>
    <w:rsid w:val="00814BC4"/>
    <w:rsid w:val="00821318"/>
    <w:rsid w:val="008226F8"/>
    <w:rsid w:val="00827254"/>
    <w:rsid w:val="0083438C"/>
    <w:rsid w:val="00836CDA"/>
    <w:rsid w:val="00840D98"/>
    <w:rsid w:val="00844F7A"/>
    <w:rsid w:val="00853090"/>
    <w:rsid w:val="008560A2"/>
    <w:rsid w:val="008611B6"/>
    <w:rsid w:val="00861366"/>
    <w:rsid w:val="0086289D"/>
    <w:rsid w:val="00874D4B"/>
    <w:rsid w:val="008758B4"/>
    <w:rsid w:val="00881083"/>
    <w:rsid w:val="00882410"/>
    <w:rsid w:val="00882B4D"/>
    <w:rsid w:val="00883905"/>
    <w:rsid w:val="0088688E"/>
    <w:rsid w:val="00893CB5"/>
    <w:rsid w:val="0089457C"/>
    <w:rsid w:val="00896393"/>
    <w:rsid w:val="00897922"/>
    <w:rsid w:val="008A2656"/>
    <w:rsid w:val="008A32A0"/>
    <w:rsid w:val="008A5B0D"/>
    <w:rsid w:val="008A740F"/>
    <w:rsid w:val="008B515D"/>
    <w:rsid w:val="008B5F09"/>
    <w:rsid w:val="008C1FD7"/>
    <w:rsid w:val="008C287C"/>
    <w:rsid w:val="008D0632"/>
    <w:rsid w:val="008D0FB6"/>
    <w:rsid w:val="008E0990"/>
    <w:rsid w:val="008E30DB"/>
    <w:rsid w:val="008E576C"/>
    <w:rsid w:val="008E5910"/>
    <w:rsid w:val="008E5C97"/>
    <w:rsid w:val="008E6971"/>
    <w:rsid w:val="008E7C9D"/>
    <w:rsid w:val="008F10D0"/>
    <w:rsid w:val="008F32F6"/>
    <w:rsid w:val="008F6E27"/>
    <w:rsid w:val="009145CA"/>
    <w:rsid w:val="009146EC"/>
    <w:rsid w:val="00915889"/>
    <w:rsid w:val="00917C3B"/>
    <w:rsid w:val="00917F45"/>
    <w:rsid w:val="009209B3"/>
    <w:rsid w:val="009211D8"/>
    <w:rsid w:val="0092354B"/>
    <w:rsid w:val="00925B59"/>
    <w:rsid w:val="00926FA3"/>
    <w:rsid w:val="009302B0"/>
    <w:rsid w:val="00930913"/>
    <w:rsid w:val="009310A4"/>
    <w:rsid w:val="00934FD4"/>
    <w:rsid w:val="00937E60"/>
    <w:rsid w:val="009400AF"/>
    <w:rsid w:val="0094343B"/>
    <w:rsid w:val="009436D5"/>
    <w:rsid w:val="009570C2"/>
    <w:rsid w:val="009601AB"/>
    <w:rsid w:val="0096160A"/>
    <w:rsid w:val="00965AC5"/>
    <w:rsid w:val="009761D3"/>
    <w:rsid w:val="009774F0"/>
    <w:rsid w:val="00981B01"/>
    <w:rsid w:val="00982C01"/>
    <w:rsid w:val="00986BC5"/>
    <w:rsid w:val="00991F3E"/>
    <w:rsid w:val="009923EC"/>
    <w:rsid w:val="009930CE"/>
    <w:rsid w:val="00996711"/>
    <w:rsid w:val="009A003D"/>
    <w:rsid w:val="009A6CBA"/>
    <w:rsid w:val="009A7C2D"/>
    <w:rsid w:val="009B0CF7"/>
    <w:rsid w:val="009B285F"/>
    <w:rsid w:val="009B51FB"/>
    <w:rsid w:val="009C0E5C"/>
    <w:rsid w:val="009C1ADC"/>
    <w:rsid w:val="009C796F"/>
    <w:rsid w:val="009D403F"/>
    <w:rsid w:val="009D5879"/>
    <w:rsid w:val="009D6504"/>
    <w:rsid w:val="009F0FD0"/>
    <w:rsid w:val="009F2755"/>
    <w:rsid w:val="009F27EE"/>
    <w:rsid w:val="009F3E2E"/>
    <w:rsid w:val="009F65AE"/>
    <w:rsid w:val="00A012BD"/>
    <w:rsid w:val="00A03DF9"/>
    <w:rsid w:val="00A072CF"/>
    <w:rsid w:val="00A100F5"/>
    <w:rsid w:val="00A11DEE"/>
    <w:rsid w:val="00A11E5C"/>
    <w:rsid w:val="00A12201"/>
    <w:rsid w:val="00A26B83"/>
    <w:rsid w:val="00A2747B"/>
    <w:rsid w:val="00A27720"/>
    <w:rsid w:val="00A3120D"/>
    <w:rsid w:val="00A33749"/>
    <w:rsid w:val="00A344AF"/>
    <w:rsid w:val="00A3479B"/>
    <w:rsid w:val="00A37638"/>
    <w:rsid w:val="00A40425"/>
    <w:rsid w:val="00A44105"/>
    <w:rsid w:val="00A57852"/>
    <w:rsid w:val="00A632F6"/>
    <w:rsid w:val="00A7047B"/>
    <w:rsid w:val="00A71044"/>
    <w:rsid w:val="00A719CC"/>
    <w:rsid w:val="00A71B1D"/>
    <w:rsid w:val="00A73F19"/>
    <w:rsid w:val="00A77F55"/>
    <w:rsid w:val="00A8019C"/>
    <w:rsid w:val="00A86F05"/>
    <w:rsid w:val="00A97F28"/>
    <w:rsid w:val="00AA00C1"/>
    <w:rsid w:val="00AA4FD8"/>
    <w:rsid w:val="00AA7030"/>
    <w:rsid w:val="00AB5271"/>
    <w:rsid w:val="00AC44B0"/>
    <w:rsid w:val="00AD4F2E"/>
    <w:rsid w:val="00AE2912"/>
    <w:rsid w:val="00AE31FA"/>
    <w:rsid w:val="00AF243B"/>
    <w:rsid w:val="00AF3137"/>
    <w:rsid w:val="00AF3939"/>
    <w:rsid w:val="00AF4702"/>
    <w:rsid w:val="00AF5254"/>
    <w:rsid w:val="00B02D1A"/>
    <w:rsid w:val="00B032A4"/>
    <w:rsid w:val="00B10BDB"/>
    <w:rsid w:val="00B14221"/>
    <w:rsid w:val="00B158DA"/>
    <w:rsid w:val="00B17A4B"/>
    <w:rsid w:val="00B20E41"/>
    <w:rsid w:val="00B2191C"/>
    <w:rsid w:val="00B21D5A"/>
    <w:rsid w:val="00B2425A"/>
    <w:rsid w:val="00B2439B"/>
    <w:rsid w:val="00B25F97"/>
    <w:rsid w:val="00B263E0"/>
    <w:rsid w:val="00B26FD1"/>
    <w:rsid w:val="00B3000A"/>
    <w:rsid w:val="00B3015F"/>
    <w:rsid w:val="00B37EF9"/>
    <w:rsid w:val="00B44B53"/>
    <w:rsid w:val="00B51EBE"/>
    <w:rsid w:val="00B569F9"/>
    <w:rsid w:val="00B6234D"/>
    <w:rsid w:val="00B65BC8"/>
    <w:rsid w:val="00B66588"/>
    <w:rsid w:val="00B72C16"/>
    <w:rsid w:val="00B73C10"/>
    <w:rsid w:val="00B7461C"/>
    <w:rsid w:val="00B749EC"/>
    <w:rsid w:val="00B8097E"/>
    <w:rsid w:val="00B855F6"/>
    <w:rsid w:val="00B90A91"/>
    <w:rsid w:val="00B91A3F"/>
    <w:rsid w:val="00B95332"/>
    <w:rsid w:val="00BA012D"/>
    <w:rsid w:val="00BA28DE"/>
    <w:rsid w:val="00BA36A7"/>
    <w:rsid w:val="00BA5C0B"/>
    <w:rsid w:val="00BA6097"/>
    <w:rsid w:val="00BA76D0"/>
    <w:rsid w:val="00BB117E"/>
    <w:rsid w:val="00BB1647"/>
    <w:rsid w:val="00BB40B2"/>
    <w:rsid w:val="00BB6B5C"/>
    <w:rsid w:val="00BB7888"/>
    <w:rsid w:val="00BC21C8"/>
    <w:rsid w:val="00BC2B4B"/>
    <w:rsid w:val="00BC53D2"/>
    <w:rsid w:val="00BD5548"/>
    <w:rsid w:val="00BD603D"/>
    <w:rsid w:val="00BD7B32"/>
    <w:rsid w:val="00BD7E7E"/>
    <w:rsid w:val="00BE3E98"/>
    <w:rsid w:val="00BE5B2C"/>
    <w:rsid w:val="00BF4837"/>
    <w:rsid w:val="00BF79AC"/>
    <w:rsid w:val="00C063F0"/>
    <w:rsid w:val="00C162D3"/>
    <w:rsid w:val="00C22435"/>
    <w:rsid w:val="00C25A7D"/>
    <w:rsid w:val="00C25ECD"/>
    <w:rsid w:val="00C269C0"/>
    <w:rsid w:val="00C32323"/>
    <w:rsid w:val="00C40145"/>
    <w:rsid w:val="00C408D1"/>
    <w:rsid w:val="00C47796"/>
    <w:rsid w:val="00C50BFC"/>
    <w:rsid w:val="00C5429B"/>
    <w:rsid w:val="00C56242"/>
    <w:rsid w:val="00C662CC"/>
    <w:rsid w:val="00C74642"/>
    <w:rsid w:val="00C75CD2"/>
    <w:rsid w:val="00C77D71"/>
    <w:rsid w:val="00C84333"/>
    <w:rsid w:val="00C859C9"/>
    <w:rsid w:val="00C9049C"/>
    <w:rsid w:val="00C91209"/>
    <w:rsid w:val="00C94A37"/>
    <w:rsid w:val="00C951E3"/>
    <w:rsid w:val="00CA1498"/>
    <w:rsid w:val="00CA3C7C"/>
    <w:rsid w:val="00CA723B"/>
    <w:rsid w:val="00CB4505"/>
    <w:rsid w:val="00CC6D79"/>
    <w:rsid w:val="00CD20D7"/>
    <w:rsid w:val="00CD3410"/>
    <w:rsid w:val="00CD56FD"/>
    <w:rsid w:val="00CE214B"/>
    <w:rsid w:val="00CE27F3"/>
    <w:rsid w:val="00CF20AA"/>
    <w:rsid w:val="00CF53D0"/>
    <w:rsid w:val="00CF6788"/>
    <w:rsid w:val="00CF7D31"/>
    <w:rsid w:val="00D023F4"/>
    <w:rsid w:val="00D21D1F"/>
    <w:rsid w:val="00D221DB"/>
    <w:rsid w:val="00D24420"/>
    <w:rsid w:val="00D25664"/>
    <w:rsid w:val="00D25EB7"/>
    <w:rsid w:val="00D271E7"/>
    <w:rsid w:val="00D30132"/>
    <w:rsid w:val="00D32D70"/>
    <w:rsid w:val="00D36EBC"/>
    <w:rsid w:val="00D407BF"/>
    <w:rsid w:val="00D43A41"/>
    <w:rsid w:val="00D43C13"/>
    <w:rsid w:val="00D44283"/>
    <w:rsid w:val="00D47772"/>
    <w:rsid w:val="00D526ED"/>
    <w:rsid w:val="00D54AB1"/>
    <w:rsid w:val="00D55D3D"/>
    <w:rsid w:val="00D608CB"/>
    <w:rsid w:val="00D60E19"/>
    <w:rsid w:val="00D63C0C"/>
    <w:rsid w:val="00D66BB2"/>
    <w:rsid w:val="00D66F28"/>
    <w:rsid w:val="00D72150"/>
    <w:rsid w:val="00D73B5B"/>
    <w:rsid w:val="00D741EF"/>
    <w:rsid w:val="00D764E2"/>
    <w:rsid w:val="00D85F69"/>
    <w:rsid w:val="00D9198F"/>
    <w:rsid w:val="00D93623"/>
    <w:rsid w:val="00D9449C"/>
    <w:rsid w:val="00D957C9"/>
    <w:rsid w:val="00D970DB"/>
    <w:rsid w:val="00DA7A61"/>
    <w:rsid w:val="00DB042F"/>
    <w:rsid w:val="00DB60B5"/>
    <w:rsid w:val="00DB68AD"/>
    <w:rsid w:val="00DB7715"/>
    <w:rsid w:val="00DC10ED"/>
    <w:rsid w:val="00DC7347"/>
    <w:rsid w:val="00DD01B3"/>
    <w:rsid w:val="00DD4CF7"/>
    <w:rsid w:val="00DD6C8D"/>
    <w:rsid w:val="00DE1F65"/>
    <w:rsid w:val="00DE7D2F"/>
    <w:rsid w:val="00DF0F1C"/>
    <w:rsid w:val="00DF124F"/>
    <w:rsid w:val="00DF2D45"/>
    <w:rsid w:val="00DF5A72"/>
    <w:rsid w:val="00E0240E"/>
    <w:rsid w:val="00E02E95"/>
    <w:rsid w:val="00E07F2E"/>
    <w:rsid w:val="00E10C66"/>
    <w:rsid w:val="00E112C6"/>
    <w:rsid w:val="00E130F4"/>
    <w:rsid w:val="00E15590"/>
    <w:rsid w:val="00E176B1"/>
    <w:rsid w:val="00E21BD8"/>
    <w:rsid w:val="00E21D75"/>
    <w:rsid w:val="00E261C2"/>
    <w:rsid w:val="00E26C1E"/>
    <w:rsid w:val="00E27349"/>
    <w:rsid w:val="00E32F50"/>
    <w:rsid w:val="00E34F74"/>
    <w:rsid w:val="00E3671A"/>
    <w:rsid w:val="00E3731B"/>
    <w:rsid w:val="00E510F7"/>
    <w:rsid w:val="00E547F0"/>
    <w:rsid w:val="00E6300E"/>
    <w:rsid w:val="00E65209"/>
    <w:rsid w:val="00E70B00"/>
    <w:rsid w:val="00E7123C"/>
    <w:rsid w:val="00E71487"/>
    <w:rsid w:val="00E74074"/>
    <w:rsid w:val="00E87481"/>
    <w:rsid w:val="00E94558"/>
    <w:rsid w:val="00E9656D"/>
    <w:rsid w:val="00E97064"/>
    <w:rsid w:val="00E97673"/>
    <w:rsid w:val="00EA5334"/>
    <w:rsid w:val="00EB45B5"/>
    <w:rsid w:val="00ED77AF"/>
    <w:rsid w:val="00ED7C53"/>
    <w:rsid w:val="00EE1E85"/>
    <w:rsid w:val="00EE6E8E"/>
    <w:rsid w:val="00EF139C"/>
    <w:rsid w:val="00F054D5"/>
    <w:rsid w:val="00F11163"/>
    <w:rsid w:val="00F12295"/>
    <w:rsid w:val="00F14F1F"/>
    <w:rsid w:val="00F219BE"/>
    <w:rsid w:val="00F24592"/>
    <w:rsid w:val="00F25E17"/>
    <w:rsid w:val="00F3196A"/>
    <w:rsid w:val="00F364DA"/>
    <w:rsid w:val="00F36699"/>
    <w:rsid w:val="00F36BAA"/>
    <w:rsid w:val="00F42822"/>
    <w:rsid w:val="00F515A7"/>
    <w:rsid w:val="00F560FE"/>
    <w:rsid w:val="00F569FA"/>
    <w:rsid w:val="00F61465"/>
    <w:rsid w:val="00F64D85"/>
    <w:rsid w:val="00F653F0"/>
    <w:rsid w:val="00F761C4"/>
    <w:rsid w:val="00F770EF"/>
    <w:rsid w:val="00F80DD9"/>
    <w:rsid w:val="00F82C5C"/>
    <w:rsid w:val="00F83DC1"/>
    <w:rsid w:val="00F90843"/>
    <w:rsid w:val="00F90ABB"/>
    <w:rsid w:val="00F934FF"/>
    <w:rsid w:val="00F94916"/>
    <w:rsid w:val="00F97B7F"/>
    <w:rsid w:val="00FA1ABA"/>
    <w:rsid w:val="00FA6882"/>
    <w:rsid w:val="00FA7AD9"/>
    <w:rsid w:val="00FB2B11"/>
    <w:rsid w:val="00FB2ECB"/>
    <w:rsid w:val="00FC0FAF"/>
    <w:rsid w:val="00FC39D2"/>
    <w:rsid w:val="00FC5D10"/>
    <w:rsid w:val="00FC6204"/>
    <w:rsid w:val="00FC6B8A"/>
    <w:rsid w:val="00FD0048"/>
    <w:rsid w:val="00FD2931"/>
    <w:rsid w:val="00FD586D"/>
    <w:rsid w:val="00FE1672"/>
    <w:rsid w:val="00FE2AF5"/>
    <w:rsid w:val="00FE72B6"/>
    <w:rsid w:val="00FE7F2E"/>
    <w:rsid w:val="00FF496C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7F10B"/>
  <w15:chartTrackingRefBased/>
  <w15:docId w15:val="{F1F27753-ED5F-4A39-AABA-FA9F8541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0C2"/>
    <w:pPr>
      <w:spacing w:after="0" w:line="300" w:lineRule="auto"/>
      <w:jc w:val="both"/>
    </w:pPr>
    <w:rPr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F00A0"/>
    <w:pPr>
      <w:keepNext/>
      <w:keepLines/>
      <w:outlineLvl w:val="1"/>
    </w:pPr>
    <w:rPr>
      <w:rFonts w:asciiTheme="majorHAnsi" w:eastAsiaTheme="majorEastAsia" w:hAnsiTheme="majorHAnsi" w:cstheme="majorBidi"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pcode">
    <w:name w:val="Compcode"/>
    <w:basedOn w:val="DefaultParagraphFont"/>
    <w:uiPriority w:val="1"/>
    <w:qFormat/>
    <w:rsid w:val="00112F97"/>
    <w:rPr>
      <w:rFonts w:ascii="Courier New" w:hAnsi="Courier New"/>
    </w:rPr>
  </w:style>
  <w:style w:type="character" w:customStyle="1" w:styleId="Heading2Char">
    <w:name w:val="Heading 2 Char"/>
    <w:basedOn w:val="DefaultParagraphFont"/>
    <w:link w:val="Heading2"/>
    <w:uiPriority w:val="9"/>
    <w:rsid w:val="001F00A0"/>
    <w:rPr>
      <w:rFonts w:asciiTheme="majorHAnsi" w:eastAsiaTheme="majorEastAsia" w:hAnsiTheme="majorHAnsi" w:cstheme="majorBidi"/>
      <w:i/>
      <w:sz w:val="26"/>
      <w:szCs w:val="26"/>
    </w:rPr>
  </w:style>
  <w:style w:type="table" w:styleId="TableGrid">
    <w:name w:val="Table Grid"/>
    <w:basedOn w:val="TableNormal"/>
    <w:uiPriority w:val="39"/>
    <w:rsid w:val="001F00A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67FD"/>
    <w:rPr>
      <w:color w:val="808080"/>
    </w:rPr>
  </w:style>
  <w:style w:type="paragraph" w:styleId="ListParagraph">
    <w:name w:val="List Paragraph"/>
    <w:basedOn w:val="Normal"/>
    <w:uiPriority w:val="34"/>
    <w:qFormat/>
    <w:rsid w:val="005248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8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87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F364D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DefaultParagraphFont"/>
    <w:rsid w:val="00DF0F1C"/>
  </w:style>
  <w:style w:type="character" w:customStyle="1" w:styleId="jrnl">
    <w:name w:val="jrnl"/>
    <w:basedOn w:val="DefaultParagraphFont"/>
    <w:rsid w:val="00081903"/>
  </w:style>
  <w:style w:type="paragraph" w:styleId="NormalWeb">
    <w:name w:val="Normal (Web)"/>
    <w:basedOn w:val="Normal"/>
    <w:uiPriority w:val="99"/>
    <w:semiHidden/>
    <w:unhideWhenUsed/>
    <w:rsid w:val="00BA36A7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C54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4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30982686" TargetMode="External"/><Relationship Id="rId13" Type="http://schemas.openxmlformats.org/officeDocument/2006/relationships/hyperlink" Target="https://bit.ly/2ueyQem" TargetMode="External"/><Relationship Id="rId18" Type="http://schemas.openxmlformats.org/officeDocument/2006/relationships/hyperlink" Target="https://www.conted.ox.ac.uk/about/msc-in-ebhc-medical-statistic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bit.ly/2lDDUrM" TargetMode="External"/><Relationship Id="rId12" Type="http://schemas.openxmlformats.org/officeDocument/2006/relationships/hyperlink" Target="https://bit.ly/2lDDUrM" TargetMode="External"/><Relationship Id="rId17" Type="http://schemas.openxmlformats.org/officeDocument/2006/relationships/hyperlink" Target="https://www.conted.ox.ac.uk/about/msc-in-evidence-based-health-ca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ted.ox.ac.uk/courses/meta-analysis%3c/lin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bit.ly/2lDDUrM" TargetMode="External"/><Relationship Id="rId10" Type="http://schemas.openxmlformats.org/officeDocument/2006/relationships/hyperlink" Target="https://onlinelibrary.wiley.com/doi/book/10.1002/9780470773666" TargetMode="External"/><Relationship Id="rId19" Type="http://schemas.openxmlformats.org/officeDocument/2006/relationships/hyperlink" Target="https://www.conted.ox.ac.uk/about/msc-in-ebhc-systematic-review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17555582" TargetMode="External"/><Relationship Id="rId14" Type="http://schemas.openxmlformats.org/officeDocument/2006/relationships/hyperlink" Target="https://www.ncbi.nlm.nih.gov/pubmed/2858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CB6C8F5-DEAE-4072-BA9E-02863A47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Stevens</dc:creator>
  <cp:keywords/>
  <dc:description/>
  <cp:lastModifiedBy>Alice Crouch</cp:lastModifiedBy>
  <cp:revision>6</cp:revision>
  <cp:lastPrinted>2019-07-03T12:39:00Z</cp:lastPrinted>
  <dcterms:created xsi:type="dcterms:W3CDTF">2019-09-19T13:13:00Z</dcterms:created>
  <dcterms:modified xsi:type="dcterms:W3CDTF">2019-10-02T10:02:00Z</dcterms:modified>
</cp:coreProperties>
</file>