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>
        <w:rPr>
          <w:b/>
        </w:rPr>
        <w:t>-</w:t>
      </w:r>
      <w:r w:rsidR="00164538">
        <w:rPr>
          <w:b/>
        </w:rPr>
        <w:t xml:space="preserve"> </w:t>
      </w:r>
      <w:r w:rsidR="00310CB5">
        <w:rPr>
          <w:b/>
        </w:rPr>
        <w:t>14</w:t>
      </w:r>
    </w:p>
    <w:p w:rsidR="00567608" w:rsidRDefault="00567608" w:rsidP="00567608">
      <w:pPr>
        <w:jc w:val="center"/>
      </w:pPr>
      <w:r>
        <w:rPr>
          <w:noProof/>
          <w:lang w:eastAsia="en-GB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36" w:rsidRPr="005E3D36" w:rsidRDefault="003714ED" w:rsidP="005E3D36">
      <w:pPr>
        <w:rPr>
          <w:i/>
        </w:rPr>
      </w:pPr>
      <w:r>
        <w:rPr>
          <w:i/>
        </w:rPr>
        <w:t xml:space="preserve">Estimating a hazard ratio from </w:t>
      </w:r>
      <w:r w:rsidR="00310CB5">
        <w:rPr>
          <w:i/>
        </w:rPr>
        <w:t>time-to-event data</w:t>
      </w:r>
      <w:r w:rsidR="00CD20D7">
        <w:rPr>
          <w:i/>
        </w:rPr>
        <w:t xml:space="preserve">  </w:t>
      </w:r>
      <w:r w:rsidR="005E3D36" w:rsidRPr="005E3D36">
        <w:rPr>
          <w:i/>
        </w:rPr>
        <w:t xml:space="preserve">  </w:t>
      </w:r>
    </w:p>
    <w:p w:rsidR="00D47A31" w:rsidRDefault="00D47A31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F5592B" w:rsidRPr="00D73E70" w:rsidRDefault="00896393" w:rsidP="003A0C28">
      <w:pPr>
        <w:rPr>
          <w:color w:val="FF0000"/>
        </w:rPr>
      </w:pPr>
      <w:r>
        <w:t>In this blog post I</w:t>
      </w:r>
      <w:r w:rsidR="003A0C28">
        <w:t>’m</w:t>
      </w:r>
      <w:r>
        <w:t xml:space="preserve"> returning to extracting hazard ratios</w:t>
      </w:r>
      <w:r w:rsidR="00A03DF9">
        <w:t xml:space="preserve"> (HRs)</w:t>
      </w:r>
      <w:r w:rsidR="007967EA">
        <w:t>,</w:t>
      </w:r>
      <w:r>
        <w:t xml:space="preserve"> </w:t>
      </w:r>
      <w:r w:rsidR="00F5592B">
        <w:t xml:space="preserve">but this time it’s </w:t>
      </w:r>
      <w:r w:rsidR="00A45331">
        <w:t xml:space="preserve">about </w:t>
      </w:r>
      <w:r w:rsidR="009B45EA" w:rsidRPr="009B45EA">
        <w:t>estimating HRs from time-to-event data</w:t>
      </w:r>
      <w:r w:rsidR="00C62B63" w:rsidRPr="00E66D0F">
        <w:rPr>
          <w:color w:val="000000" w:themeColor="text1"/>
        </w:rPr>
        <w:t xml:space="preserve"> </w:t>
      </w:r>
      <w:r w:rsidR="00BA7927" w:rsidRPr="009B45EA">
        <w:t>(</w:t>
      </w:r>
      <w:r w:rsidR="00C62B63" w:rsidRPr="009B45EA">
        <w:t xml:space="preserve">survival </w:t>
      </w:r>
      <w:r w:rsidR="00F5592B" w:rsidRPr="009B45EA">
        <w:t>data</w:t>
      </w:r>
      <w:r w:rsidR="00BA7927" w:rsidRPr="009B45EA">
        <w:t>)</w:t>
      </w:r>
      <w:r w:rsidR="003C1471" w:rsidRPr="009B45EA">
        <w:t xml:space="preserve">. </w:t>
      </w:r>
      <w:hyperlink r:id="rId7" w:history="1">
        <w:r w:rsidR="00BA7927" w:rsidRPr="009B45EA">
          <w:rPr>
            <w:rStyle w:val="Hyperlink"/>
            <w:color w:val="0070C0"/>
          </w:rPr>
          <w:t>Guyot et al</w:t>
        </w:r>
      </w:hyperlink>
      <w:r w:rsidR="00BA7927" w:rsidRPr="009B45EA">
        <w:t xml:space="preserve"> </w:t>
      </w:r>
      <w:r w:rsidR="00FE10AD" w:rsidRPr="009B45EA">
        <w:t xml:space="preserve">use </w:t>
      </w:r>
      <w:r w:rsidR="00F12D4C" w:rsidRPr="009B45EA">
        <w:t xml:space="preserve">image </w:t>
      </w:r>
      <w:r w:rsidR="00FE10AD" w:rsidRPr="009B45EA">
        <w:t xml:space="preserve">extraction software to extract the co-ordinates of </w:t>
      </w:r>
      <w:r w:rsidR="00FE10AD" w:rsidRPr="009B45EA">
        <w:rPr>
          <w:rStyle w:val="Hyperlink"/>
          <w:color w:val="auto"/>
          <w:u w:val="none"/>
        </w:rPr>
        <w:t xml:space="preserve">Kaplan-Meier </w:t>
      </w:r>
      <w:r w:rsidR="00CB7B28" w:rsidRPr="009B45EA">
        <w:rPr>
          <w:rStyle w:val="Hyperlink"/>
          <w:color w:val="auto"/>
          <w:u w:val="none"/>
        </w:rPr>
        <w:t xml:space="preserve">(K-M) </w:t>
      </w:r>
      <w:r w:rsidR="00FE10AD" w:rsidRPr="009B45EA">
        <w:rPr>
          <w:rStyle w:val="Hyperlink"/>
          <w:color w:val="auto"/>
          <w:u w:val="none"/>
        </w:rPr>
        <w:t>curves</w:t>
      </w:r>
      <w:r w:rsidR="00CB7B28" w:rsidRPr="009B45EA">
        <w:rPr>
          <w:rStyle w:val="Hyperlink"/>
          <w:color w:val="auto"/>
          <w:u w:val="none"/>
        </w:rPr>
        <w:t xml:space="preserve">, also known as </w:t>
      </w:r>
      <w:r w:rsidR="00E66D0F" w:rsidRPr="009B45EA">
        <w:rPr>
          <w:rStyle w:val="Hyperlink"/>
          <w:color w:val="auto"/>
          <w:u w:val="none"/>
        </w:rPr>
        <w:t>survival curves</w:t>
      </w:r>
      <w:r w:rsidR="00CB7B28" w:rsidRPr="009B45EA">
        <w:rPr>
          <w:rStyle w:val="Hyperlink"/>
          <w:color w:val="auto"/>
          <w:u w:val="none"/>
        </w:rPr>
        <w:t xml:space="preserve">. They apply </w:t>
      </w:r>
      <w:r w:rsidR="00FE10AD" w:rsidRPr="009B45EA">
        <w:rPr>
          <w:rStyle w:val="Hyperlink"/>
          <w:color w:val="auto"/>
          <w:u w:val="none"/>
        </w:rPr>
        <w:t xml:space="preserve">an algorithm </w:t>
      </w:r>
      <w:r w:rsidR="00CB7B28" w:rsidRPr="009B45EA">
        <w:rPr>
          <w:rStyle w:val="Hyperlink"/>
          <w:color w:val="auto"/>
          <w:u w:val="none"/>
        </w:rPr>
        <w:t xml:space="preserve">to </w:t>
      </w:r>
      <w:r w:rsidR="00FE10AD" w:rsidRPr="009B45EA">
        <w:rPr>
          <w:rStyle w:val="Hyperlink"/>
          <w:color w:val="auto"/>
          <w:u w:val="none"/>
        </w:rPr>
        <w:t xml:space="preserve">reconstruct individual patient data, which they </w:t>
      </w:r>
      <w:r w:rsidR="00CB7B28" w:rsidRPr="009B45EA">
        <w:rPr>
          <w:rStyle w:val="Hyperlink"/>
          <w:color w:val="auto"/>
          <w:u w:val="none"/>
        </w:rPr>
        <w:t xml:space="preserve">then </w:t>
      </w:r>
      <w:r w:rsidR="00FE10AD" w:rsidRPr="009B45EA">
        <w:rPr>
          <w:rStyle w:val="Hyperlink"/>
          <w:color w:val="auto"/>
          <w:u w:val="none"/>
        </w:rPr>
        <w:t xml:space="preserve">re-analyse to estimate the HR. </w:t>
      </w:r>
      <w:r w:rsidR="00CB7B28" w:rsidRPr="009B45EA">
        <w:rPr>
          <w:rStyle w:val="Hyperlink"/>
          <w:color w:val="auto"/>
          <w:u w:val="none"/>
        </w:rPr>
        <w:t>Guyot et al</w:t>
      </w:r>
      <w:r w:rsidR="00FE10AD" w:rsidRPr="009B45EA">
        <w:rPr>
          <w:rStyle w:val="Hyperlink"/>
          <w:color w:val="auto"/>
          <w:u w:val="none"/>
        </w:rPr>
        <w:t xml:space="preserve"> highlight other approaches</w:t>
      </w:r>
      <w:r w:rsidR="00CB7B28" w:rsidRPr="009B45EA">
        <w:rPr>
          <w:rStyle w:val="Hyperlink"/>
          <w:color w:val="auto"/>
          <w:u w:val="none"/>
        </w:rPr>
        <w:t>,</w:t>
      </w:r>
      <w:r w:rsidR="00FE10AD" w:rsidRPr="009B45EA">
        <w:rPr>
          <w:rStyle w:val="Hyperlink"/>
          <w:color w:val="auto"/>
          <w:u w:val="none"/>
        </w:rPr>
        <w:t xml:space="preserve"> which use fewer data points from K-M curves including the methods of </w:t>
      </w:r>
      <w:hyperlink r:id="rId8" w:history="1">
        <w:r w:rsidR="00FE10AD" w:rsidRPr="009B45EA">
          <w:rPr>
            <w:rStyle w:val="Hyperlink"/>
            <w:color w:val="auto"/>
            <w:u w:val="none"/>
          </w:rPr>
          <w:t>Parmar et al</w:t>
        </w:r>
      </w:hyperlink>
      <w:r w:rsidR="00FE10AD" w:rsidRPr="009B45EA">
        <w:t xml:space="preserve"> and </w:t>
      </w:r>
      <w:hyperlink r:id="rId9" w:history="1">
        <w:r w:rsidR="00FE10AD" w:rsidRPr="009B45EA">
          <w:rPr>
            <w:rStyle w:val="Hyperlink"/>
            <w:color w:val="auto"/>
            <w:u w:val="none"/>
          </w:rPr>
          <w:t>Williamson et al</w:t>
        </w:r>
      </w:hyperlink>
      <w:r w:rsidR="00FE10AD" w:rsidRPr="009B45EA">
        <w:rPr>
          <w:rStyle w:val="Hyperlink"/>
          <w:color w:val="auto"/>
          <w:u w:val="none"/>
        </w:rPr>
        <w:t xml:space="preserve">. </w:t>
      </w:r>
      <w:hyperlink r:id="rId10" w:history="1">
        <w:r w:rsidR="00E66D0F" w:rsidRPr="009B45EA">
          <w:rPr>
            <w:rStyle w:val="Hyperlink"/>
            <w:color w:val="0070C0"/>
          </w:rPr>
          <w:t>Tierney et al</w:t>
        </w:r>
      </w:hyperlink>
      <w:r w:rsidR="00E66D0F" w:rsidRPr="009B45EA">
        <w:t xml:space="preserve"> revisit these methods and make them </w:t>
      </w:r>
      <w:r w:rsidR="00FD0048" w:rsidRPr="009B45EA">
        <w:t>m</w:t>
      </w:r>
      <w:r w:rsidR="002A18FE" w:rsidRPr="009B45EA">
        <w:t>ore accessible</w:t>
      </w:r>
      <w:r w:rsidR="00526782" w:rsidRPr="009B45EA">
        <w:t>,</w:t>
      </w:r>
      <w:r w:rsidR="002A18FE" w:rsidRPr="009B45EA">
        <w:t xml:space="preserve"> </w:t>
      </w:r>
      <w:r w:rsidR="003A0C28" w:rsidRPr="009B45EA">
        <w:t xml:space="preserve">by providing </w:t>
      </w:r>
      <w:r w:rsidR="00A6399C" w:rsidRPr="009B45EA">
        <w:t xml:space="preserve">simpler notation, </w:t>
      </w:r>
      <w:r w:rsidR="003A0C28" w:rsidRPr="009B45EA">
        <w:t>step-by-step instructions</w:t>
      </w:r>
      <w:r w:rsidR="00151282" w:rsidRPr="009B45EA">
        <w:t>,</w:t>
      </w:r>
      <w:r w:rsidR="00F5592B" w:rsidRPr="009B45EA">
        <w:t xml:space="preserve"> equations</w:t>
      </w:r>
      <w:r w:rsidR="00526782" w:rsidRPr="009B45EA">
        <w:t>,</w:t>
      </w:r>
      <w:r w:rsidR="002A18FE" w:rsidRPr="009B45EA">
        <w:t xml:space="preserve"> </w:t>
      </w:r>
      <w:r w:rsidR="003C1471" w:rsidRPr="009B45EA">
        <w:t xml:space="preserve">worked examples </w:t>
      </w:r>
      <w:r w:rsidR="00F5592B" w:rsidRPr="009B45EA">
        <w:t>from a couple of published trials</w:t>
      </w:r>
      <w:r w:rsidR="00151282" w:rsidRPr="009B45EA">
        <w:t>,</w:t>
      </w:r>
      <w:r w:rsidR="00F5592B" w:rsidRPr="009B45EA">
        <w:t xml:space="preserve"> and a very</w:t>
      </w:r>
      <w:r w:rsidR="00A45331" w:rsidRPr="009B45EA">
        <w:t xml:space="preserve"> useful</w:t>
      </w:r>
      <w:r w:rsidR="00F5592B" w:rsidRPr="009B45EA">
        <w:t xml:space="preserve"> </w:t>
      </w:r>
      <w:r w:rsidR="003A0C28" w:rsidRPr="009B45EA">
        <w:t xml:space="preserve">spreadsheet </w:t>
      </w:r>
      <w:r w:rsidR="00F5592B" w:rsidRPr="009B45EA">
        <w:t xml:space="preserve">that </w:t>
      </w:r>
      <w:r w:rsidR="007967EA" w:rsidRPr="009B45EA">
        <w:t>does</w:t>
      </w:r>
      <w:r w:rsidR="00F5592B" w:rsidRPr="009B45EA">
        <w:t xml:space="preserve"> all the calculations</w:t>
      </w:r>
      <w:r w:rsidR="00CB7B28" w:rsidRPr="009B45EA">
        <w:t>.</w:t>
      </w:r>
      <w:r w:rsidR="00CB7B28" w:rsidRPr="00CB7B28">
        <w:t xml:space="preserve"> </w:t>
      </w:r>
      <w:r w:rsidR="00CB7B28" w:rsidRPr="00CB7B28">
        <w:rPr>
          <w:color w:val="000000" w:themeColor="text1"/>
        </w:rPr>
        <w:t>Note that there’s an updated paper in the pipeline.</w:t>
      </w:r>
    </w:p>
    <w:p w:rsidR="00F5592B" w:rsidRDefault="00F5592B" w:rsidP="003A0C28"/>
    <w:p w:rsidR="00896393" w:rsidRDefault="00F5592B" w:rsidP="003A0C28">
      <w:pPr>
        <w:rPr>
          <w:rStyle w:val="Hyperlink"/>
        </w:rPr>
      </w:pPr>
      <w:r>
        <w:t xml:space="preserve">I’m going to </w:t>
      </w:r>
      <w:r w:rsidR="00EF3A59">
        <w:t>go</w:t>
      </w:r>
      <w:r>
        <w:t xml:space="preserve"> through </w:t>
      </w:r>
      <w:r w:rsidR="00E66D0F" w:rsidRPr="009B45EA">
        <w:t>the paper</w:t>
      </w:r>
      <w:r w:rsidR="00BA7927" w:rsidRPr="009B45EA">
        <w:t xml:space="preserve"> </w:t>
      </w:r>
      <w:r w:rsidR="00CB7B28" w:rsidRPr="009B45EA">
        <w:t>by</w:t>
      </w:r>
      <w:r w:rsidR="00BA7927" w:rsidRPr="009B45EA">
        <w:t xml:space="preserve"> Tierney et al</w:t>
      </w:r>
      <w:r>
        <w:t xml:space="preserve">, add a bit more explanation, derive </w:t>
      </w:r>
      <w:r w:rsidR="00E66D0F">
        <w:t xml:space="preserve">the </w:t>
      </w:r>
      <w:r>
        <w:t>equations</w:t>
      </w:r>
      <w:r w:rsidR="00151282">
        <w:t>,</w:t>
      </w:r>
      <w:r>
        <w:t xml:space="preserve"> and run through data from a different trial. Note that, for consistency, I use the term</w:t>
      </w:r>
      <w:r w:rsidR="009B45EA">
        <w:t>s</w:t>
      </w:r>
      <w:r>
        <w:t xml:space="preserve"> “survival” and “at risk” where Tierney et al use </w:t>
      </w:r>
      <w:r w:rsidR="00F520D2">
        <w:t xml:space="preserve">the term </w:t>
      </w:r>
      <w:r>
        <w:t xml:space="preserve">“event-free”.  </w:t>
      </w:r>
    </w:p>
    <w:p w:rsidR="009D69A9" w:rsidRDefault="009D69A9" w:rsidP="00AA7030"/>
    <w:p w:rsidR="00896393" w:rsidRDefault="009D69A9" w:rsidP="00AA7030">
      <w:r>
        <w:t>Tierney et al</w:t>
      </w:r>
      <w:r w:rsidR="003A0C28">
        <w:t xml:space="preserve"> start by highlighting the s</w:t>
      </w:r>
      <w:r w:rsidR="00C91209">
        <w:t xml:space="preserve">ummary </w:t>
      </w:r>
      <w:r w:rsidR="00580CC5">
        <w:t xml:space="preserve">statistics </w:t>
      </w:r>
      <w:r w:rsidR="003A0C28">
        <w:t>that are required</w:t>
      </w:r>
      <w:r w:rsidR="00526782">
        <w:t>,</w:t>
      </w:r>
      <w:r w:rsidR="003A0C28">
        <w:t xml:space="preserve"> </w:t>
      </w:r>
      <w:r w:rsidR="00580CC5">
        <w:t>f</w:t>
      </w:r>
      <w:r w:rsidR="00322064">
        <w:t>or</w:t>
      </w:r>
      <w:r w:rsidR="00580CC5">
        <w:t xml:space="preserve"> each trial</w:t>
      </w:r>
      <w:r w:rsidR="00526782">
        <w:t>,</w:t>
      </w:r>
      <w:r w:rsidR="003A0C28">
        <w:t xml:space="preserve"> for meta-analysis</w:t>
      </w:r>
      <w:r w:rsidR="00580CC5">
        <w:t>:</w:t>
      </w:r>
      <w:r w:rsidR="00896393">
        <w:t xml:space="preserve"> </w:t>
      </w:r>
    </w:p>
    <w:p w:rsidR="00580CC5" w:rsidRDefault="00580CC5" w:rsidP="00AA7030">
      <w:r>
        <w:t>HR</w:t>
      </w:r>
      <w:r w:rsidR="0037395B">
        <w:t xml:space="preserve"> </w:t>
      </w:r>
      <w:r w:rsidR="009B51FB">
        <w:tab/>
      </w:r>
      <w:r>
        <w:t>hazard ratio</w:t>
      </w:r>
    </w:p>
    <w:p w:rsidR="00580CC5" w:rsidRDefault="00580CC5" w:rsidP="00AA7030">
      <w:proofErr w:type="spellStart"/>
      <w:r>
        <w:t>lnHR</w:t>
      </w:r>
      <w:proofErr w:type="spellEnd"/>
      <w:r w:rsidR="009B51FB">
        <w:tab/>
      </w:r>
      <w:r>
        <w:t xml:space="preserve">natural </w:t>
      </w:r>
      <w:hyperlink r:id="rId11" w:history="1">
        <w:r w:rsidRPr="00580CC5">
          <w:rPr>
            <w:rStyle w:val="Hyperlink"/>
          </w:rPr>
          <w:t>logarithm</w:t>
        </w:r>
      </w:hyperlink>
      <w:r>
        <w:t xml:space="preserve"> of the hazard ratio</w:t>
      </w:r>
    </w:p>
    <w:p w:rsidR="00580CC5" w:rsidRDefault="00580CC5" w:rsidP="00AA7030">
      <w:r>
        <w:t>O-E</w:t>
      </w:r>
      <w:r w:rsidR="009B51FB">
        <w:tab/>
      </w:r>
      <w:r>
        <w:t>difference between the observed and expected number of events in the intervention group</w:t>
      </w:r>
    </w:p>
    <w:p w:rsidR="009B51FB" w:rsidRDefault="00580CC5" w:rsidP="00AA7030">
      <w:r>
        <w:t>V</w:t>
      </w:r>
      <w:r w:rsidR="00E32F50">
        <w:t xml:space="preserve"> </w:t>
      </w:r>
      <w:r w:rsidR="009B51FB">
        <w:tab/>
      </w:r>
      <w:r>
        <w:t>variance of O-E</w:t>
      </w:r>
      <w:r w:rsidR="0037395B">
        <w:t xml:space="preserve"> </w:t>
      </w:r>
    </w:p>
    <w:p w:rsidR="009B51FB" w:rsidRDefault="0037395B" w:rsidP="00AA7030">
      <w:r>
        <w:t xml:space="preserve">or </w:t>
      </w:r>
    </w:p>
    <w:p w:rsidR="00580CC5" w:rsidRDefault="0037395B" w:rsidP="00AA7030">
      <w:r>
        <w:t>V*</w:t>
      </w:r>
      <w:r w:rsidR="009B51FB">
        <w:tab/>
      </w:r>
      <w:r>
        <w:t xml:space="preserve">variance of </w:t>
      </w:r>
      <w:proofErr w:type="spellStart"/>
      <w:r>
        <w:t>lnHR</w:t>
      </w:r>
      <w:proofErr w:type="spellEnd"/>
    </w:p>
    <w:p w:rsidR="0037395B" w:rsidRDefault="0037395B" w:rsidP="00AA7030"/>
    <w:p w:rsidR="0037395B" w:rsidRDefault="0037395B" w:rsidP="00AA7030">
      <w:r>
        <w:t>Note that:</w:t>
      </w:r>
    </w:p>
    <w:p w:rsidR="0037395B" w:rsidRDefault="0037395B" w:rsidP="00AA7030">
      <w:r>
        <w:t>V and V* are the reciprocal of each other i.e. V=1/V* and V*=1/V*</w:t>
      </w:r>
    </w:p>
    <w:p w:rsidR="0037395B" w:rsidRDefault="0037395B" w:rsidP="00AA7030">
      <w:r>
        <w:t xml:space="preserve">O-E and V </w:t>
      </w:r>
      <w:r w:rsidR="00526782">
        <w:t>are also</w:t>
      </w:r>
      <w:r>
        <w:t xml:space="preserve"> called the </w:t>
      </w:r>
      <w:proofErr w:type="spellStart"/>
      <w:r>
        <w:t>logrank</w:t>
      </w:r>
      <w:proofErr w:type="spellEnd"/>
      <w:r>
        <w:t xml:space="preserve"> O-E and </w:t>
      </w:r>
      <w:proofErr w:type="spellStart"/>
      <w:r>
        <w:t>logrank</w:t>
      </w:r>
      <w:proofErr w:type="spellEnd"/>
      <w:r>
        <w:t xml:space="preserve"> </w:t>
      </w:r>
      <w:r w:rsidR="009B51FB">
        <w:t>v</w:t>
      </w:r>
      <w:r w:rsidR="00B8097E">
        <w:t>ariance</w:t>
      </w:r>
    </w:p>
    <w:p w:rsidR="00E32F50" w:rsidRDefault="00E32F50" w:rsidP="00AA7030"/>
    <w:p w:rsidR="0037395B" w:rsidRDefault="00566187" w:rsidP="00AA7030">
      <w:r>
        <w:lastRenderedPageBreak/>
        <w:t>They then</w:t>
      </w:r>
      <w:r w:rsidR="00B8097E">
        <w:t xml:space="preserve"> show how to extract the</w:t>
      </w:r>
      <w:r w:rsidR="00FD0048">
        <w:t xml:space="preserve"> above</w:t>
      </w:r>
      <w:r w:rsidR="00B8097E">
        <w:t xml:space="preserve"> summary statistics </w:t>
      </w:r>
      <w:r w:rsidR="002A18FE">
        <w:t xml:space="preserve">when </w:t>
      </w:r>
      <w:r w:rsidR="00937E60">
        <w:t>the following data</w:t>
      </w:r>
      <w:r w:rsidR="002A18FE">
        <w:t xml:space="preserve"> are reported</w:t>
      </w:r>
      <w:r w:rsidR="00937E60">
        <w:t>:</w:t>
      </w:r>
    </w:p>
    <w:p w:rsidR="0037395B" w:rsidRDefault="0037395B" w:rsidP="00B91A3F">
      <w:pPr>
        <w:pStyle w:val="ListParagraph"/>
        <w:numPr>
          <w:ilvl w:val="0"/>
          <w:numId w:val="13"/>
        </w:numPr>
      </w:pPr>
      <w:r>
        <w:t>O and E or hazard rates for the intervention and control groups</w:t>
      </w:r>
    </w:p>
    <w:p w:rsidR="00B8097E" w:rsidRDefault="00B8097E" w:rsidP="00B91A3F">
      <w:pPr>
        <w:pStyle w:val="ListParagraph"/>
        <w:numPr>
          <w:ilvl w:val="0"/>
          <w:numId w:val="13"/>
        </w:numPr>
      </w:pPr>
      <w:r>
        <w:t>O-E and V for the intervention group</w:t>
      </w:r>
    </w:p>
    <w:p w:rsidR="00B8097E" w:rsidRDefault="00B8097E" w:rsidP="00B91A3F">
      <w:pPr>
        <w:pStyle w:val="ListParagraph"/>
        <w:numPr>
          <w:ilvl w:val="0"/>
          <w:numId w:val="13"/>
        </w:numPr>
      </w:pPr>
      <w:r>
        <w:t>HR and confidence intervals</w:t>
      </w:r>
    </w:p>
    <w:p w:rsidR="00B8097E" w:rsidRDefault="00B8097E" w:rsidP="00B91A3F">
      <w:pPr>
        <w:pStyle w:val="ListParagraph"/>
        <w:numPr>
          <w:ilvl w:val="0"/>
          <w:numId w:val="13"/>
        </w:numPr>
      </w:pPr>
      <w:r>
        <w:t xml:space="preserve">HR and events in each treatment arm </w:t>
      </w:r>
      <w:r w:rsidR="003A0C28">
        <w:t>and a</w:t>
      </w:r>
      <w:r>
        <w:t xml:space="preserve"> randomisation ratio </w:t>
      </w:r>
      <w:r w:rsidR="003A0C28">
        <w:t>of</w:t>
      </w:r>
      <w:r>
        <w:t xml:space="preserve"> 1:1</w:t>
      </w:r>
    </w:p>
    <w:p w:rsidR="00B8097E" w:rsidRDefault="00B8097E" w:rsidP="00B91A3F">
      <w:pPr>
        <w:pStyle w:val="ListParagraph"/>
        <w:numPr>
          <w:ilvl w:val="0"/>
          <w:numId w:val="13"/>
        </w:numPr>
      </w:pPr>
      <w:r>
        <w:t xml:space="preserve">HR and total events </w:t>
      </w:r>
      <w:r w:rsidR="003A0C28">
        <w:t xml:space="preserve">and a </w:t>
      </w:r>
      <w:r>
        <w:t xml:space="preserve">randomisation ratio </w:t>
      </w:r>
      <w:r w:rsidR="003A0C28">
        <w:t>of</w:t>
      </w:r>
      <w:r>
        <w:t xml:space="preserve"> 1:1</w:t>
      </w:r>
    </w:p>
    <w:p w:rsidR="00B8097E" w:rsidRDefault="00B8097E" w:rsidP="00B91A3F">
      <w:pPr>
        <w:pStyle w:val="ListParagraph"/>
        <w:numPr>
          <w:ilvl w:val="0"/>
          <w:numId w:val="13"/>
        </w:numPr>
      </w:pPr>
      <w:r>
        <w:t>HR, total events and the numbers randomised in each arm</w:t>
      </w:r>
    </w:p>
    <w:p w:rsidR="0037395B" w:rsidRDefault="00B8097E" w:rsidP="00B91A3F">
      <w:pPr>
        <w:pStyle w:val="ListParagraph"/>
        <w:numPr>
          <w:ilvl w:val="0"/>
          <w:numId w:val="13"/>
        </w:numPr>
      </w:pPr>
      <w:r>
        <w:t xml:space="preserve">p-value and events in each treatment arm and </w:t>
      </w:r>
      <w:r w:rsidR="003A0C28">
        <w:t>a</w:t>
      </w:r>
      <w:r>
        <w:t xml:space="preserve"> randomisation ratio </w:t>
      </w:r>
      <w:r w:rsidR="003A0C28">
        <w:t>of</w:t>
      </w:r>
      <w:r>
        <w:t xml:space="preserve"> 1:1</w:t>
      </w:r>
    </w:p>
    <w:p w:rsidR="001325BE" w:rsidRDefault="003C1471" w:rsidP="00FF2F87">
      <w:pPr>
        <w:pStyle w:val="ListParagraph"/>
        <w:numPr>
          <w:ilvl w:val="0"/>
          <w:numId w:val="13"/>
        </w:numPr>
      </w:pPr>
      <w:r>
        <w:t>p-value and total events and a randomisation ratio of 1:1</w:t>
      </w:r>
    </w:p>
    <w:p w:rsidR="00B8097E" w:rsidRDefault="00B14221" w:rsidP="00B91A3F">
      <w:pPr>
        <w:pStyle w:val="ListParagraph"/>
        <w:numPr>
          <w:ilvl w:val="0"/>
          <w:numId w:val="13"/>
        </w:numPr>
      </w:pPr>
      <w:r>
        <w:t>p-value and total events and the number randomised to each arm</w:t>
      </w:r>
    </w:p>
    <w:p w:rsidR="003C1471" w:rsidRDefault="00B14221" w:rsidP="00455EA9">
      <w:pPr>
        <w:pStyle w:val="ListParagraph"/>
        <w:numPr>
          <w:ilvl w:val="0"/>
          <w:numId w:val="13"/>
        </w:numPr>
        <w:ind w:left="714" w:hanging="357"/>
      </w:pPr>
      <w:r>
        <w:t>Kaplan-Meier curve</w:t>
      </w:r>
      <w:r w:rsidR="00E32F50">
        <w:t>s</w:t>
      </w:r>
    </w:p>
    <w:p w:rsidR="003C1471" w:rsidRDefault="003C1471" w:rsidP="00F61279">
      <w:pPr>
        <w:pStyle w:val="ListParagraph"/>
        <w:numPr>
          <w:ilvl w:val="1"/>
          <w:numId w:val="13"/>
        </w:numPr>
      </w:pPr>
      <w:r>
        <w:t>Reported with information about follow-up</w:t>
      </w:r>
    </w:p>
    <w:p w:rsidR="003C1471" w:rsidRDefault="003C1471" w:rsidP="00F61279">
      <w:pPr>
        <w:pStyle w:val="ListParagraph"/>
        <w:numPr>
          <w:ilvl w:val="1"/>
          <w:numId w:val="13"/>
        </w:numPr>
      </w:pPr>
      <w:r>
        <w:t>Reported with numbers at risk</w:t>
      </w:r>
    </w:p>
    <w:p w:rsidR="00E32F50" w:rsidRDefault="00E32F50" w:rsidP="00E32F50">
      <w:pPr>
        <w:pStyle w:val="ListParagraph"/>
      </w:pPr>
    </w:p>
    <w:p w:rsidR="009D52AF" w:rsidRDefault="00775A59" w:rsidP="00D47772">
      <w:r>
        <w:t>The</w:t>
      </w:r>
      <w:r w:rsidR="009B45EA">
        <w:t>ir</w:t>
      </w:r>
      <w:bookmarkStart w:id="0" w:name="_GoBack"/>
      <w:bookmarkEnd w:id="0"/>
      <w:r>
        <w:t xml:space="preserve"> spreadsheet can be used for all of the above</w:t>
      </w:r>
      <w:r w:rsidR="00151282">
        <w:t>,</w:t>
      </w:r>
      <w:r>
        <w:t xml:space="preserve"> although t</w:t>
      </w:r>
      <w:r w:rsidR="003C1471">
        <w:t xml:space="preserve">he </w:t>
      </w:r>
      <w:r>
        <w:t xml:space="preserve">underlying </w:t>
      </w:r>
      <w:r w:rsidR="009D52AF">
        <w:t xml:space="preserve">equations </w:t>
      </w:r>
      <w:r w:rsidR="003C1471">
        <w:t>for 1 to 9 are straightforward</w:t>
      </w:r>
      <w:r>
        <w:t>. For</w:t>
      </w:r>
      <w:r w:rsidR="003C1471">
        <w:t xml:space="preserve"> </w:t>
      </w:r>
      <w:r w:rsidR="00151282">
        <w:t>1</w:t>
      </w:r>
      <w:r w:rsidR="003C1471">
        <w:t>0</w:t>
      </w:r>
      <w:r w:rsidR="00151282">
        <w:t>a and 10b</w:t>
      </w:r>
      <w:r w:rsidR="003C1471">
        <w:t>, the equations are more complicated</w:t>
      </w:r>
      <w:r>
        <w:t xml:space="preserve"> and</w:t>
      </w:r>
      <w:r w:rsidR="003C1471">
        <w:t xml:space="preserve"> </w:t>
      </w:r>
      <w:r>
        <w:t xml:space="preserve">the inputs required for the spreadsheet include </w:t>
      </w:r>
      <w:r w:rsidR="00637858">
        <w:t>extracted curve data</w:t>
      </w:r>
      <w:r>
        <w:t xml:space="preserve">, and in order to estimate the numbers censored, either the reported maximum and minimum </w:t>
      </w:r>
      <w:proofErr w:type="spellStart"/>
      <w:r>
        <w:t>followup</w:t>
      </w:r>
      <w:proofErr w:type="spellEnd"/>
      <w:r>
        <w:t xml:space="preserve"> times (if these are not reported, Tierney et al offer advice on how t</w:t>
      </w:r>
      <w:r w:rsidR="005A03FC">
        <w:t xml:space="preserve">hese data may be </w:t>
      </w:r>
      <w:r>
        <w:t>estimate</w:t>
      </w:r>
      <w:r w:rsidR="005A03FC">
        <w:t>d</w:t>
      </w:r>
      <w:r>
        <w:t>)</w:t>
      </w:r>
      <w:r w:rsidR="005A03FC">
        <w:t>,</w:t>
      </w:r>
      <w:r>
        <w:t xml:space="preserve"> or the reported numbers at risk. </w:t>
      </w:r>
      <w:r w:rsidR="009905BA" w:rsidRPr="009B45EA">
        <w:t>We say that a</w:t>
      </w:r>
      <w:r w:rsidR="00C62B63" w:rsidRPr="009B45EA">
        <w:t xml:space="preserve"> patient is censored if they leave the study before </w:t>
      </w:r>
      <w:r w:rsidR="00BA7927" w:rsidRPr="009B45EA">
        <w:t>they</w:t>
      </w:r>
      <w:r w:rsidR="009905BA" w:rsidRPr="009B45EA">
        <w:t>’</w:t>
      </w:r>
      <w:r w:rsidR="00BA7927" w:rsidRPr="009B45EA">
        <w:t xml:space="preserve">ve experienced </w:t>
      </w:r>
      <w:r w:rsidR="00C62B63" w:rsidRPr="009B45EA">
        <w:t>the event of interest</w:t>
      </w:r>
      <w:r w:rsidR="00C62B63" w:rsidRPr="00F520D2">
        <w:rPr>
          <w:color w:val="000000" w:themeColor="text1"/>
        </w:rPr>
        <w:t>.</w:t>
      </w:r>
    </w:p>
    <w:p w:rsidR="00662E2B" w:rsidRDefault="009D52AF" w:rsidP="005A03FC">
      <w:pPr>
        <w:tabs>
          <w:tab w:val="center" w:pos="4819"/>
        </w:tabs>
      </w:pPr>
      <w:r>
        <w:t xml:space="preserve"> </w:t>
      </w:r>
      <w:r w:rsidR="005A03FC">
        <w:tab/>
      </w:r>
    </w:p>
    <w:p w:rsidR="00880890" w:rsidRPr="00D73E70" w:rsidRDefault="009D52AF" w:rsidP="005A03FC">
      <w:pPr>
        <w:rPr>
          <w:strike/>
          <w:color w:val="FF0000"/>
        </w:rPr>
      </w:pPr>
      <w:r>
        <w:t xml:space="preserve">For </w:t>
      </w:r>
      <w:r w:rsidR="00775A59">
        <w:t>10a</w:t>
      </w:r>
      <w:r>
        <w:t>, t</w:t>
      </w:r>
      <w:r w:rsidR="00B91A3F">
        <w:t xml:space="preserve">he </w:t>
      </w:r>
      <w:r w:rsidR="0092354B">
        <w:t xml:space="preserve">survival curve needs to be </w:t>
      </w:r>
      <w:r w:rsidR="00662E2B">
        <w:t xml:space="preserve">divided upon </w:t>
      </w:r>
      <w:r w:rsidR="00140A00">
        <w:t>into</w:t>
      </w:r>
      <w:r w:rsidR="00A03DF9">
        <w:t xml:space="preserve"> a</w:t>
      </w:r>
      <w:r w:rsidR="00140A00">
        <w:t xml:space="preserve"> number of time intervals</w:t>
      </w:r>
      <w:r w:rsidR="00500277" w:rsidRPr="00500277">
        <w:t xml:space="preserve"> </w:t>
      </w:r>
      <w:r w:rsidR="00662E2B">
        <w:t>and the times and survival proportions extracted</w:t>
      </w:r>
      <w:r w:rsidR="00500277">
        <w:t>. The</w:t>
      </w:r>
      <w:r w:rsidR="005A03FC">
        <w:t>se</w:t>
      </w:r>
      <w:r w:rsidR="00500277">
        <w:t xml:space="preserve"> intervals should be chosen to give a good representation of the event rates </w:t>
      </w:r>
      <w:r w:rsidR="002A18FE">
        <w:t>over time</w:t>
      </w:r>
      <w:r w:rsidR="00500277">
        <w:t>, so when the event rate</w:t>
      </w:r>
      <w:r w:rsidR="00A03DF9">
        <w:t xml:space="preserve"> is</w:t>
      </w:r>
      <w:r w:rsidR="00500277">
        <w:t xml:space="preserve"> high, </w:t>
      </w:r>
      <w:r w:rsidR="002A18FE">
        <w:t xml:space="preserve">you need to use </w:t>
      </w:r>
      <w:r w:rsidR="00500277">
        <w:t>closer intervals</w:t>
      </w:r>
      <w:r w:rsidR="00A03DF9">
        <w:t>,</w:t>
      </w:r>
      <w:r w:rsidR="00500277">
        <w:t xml:space="preserve"> and when the event rate is low, </w:t>
      </w:r>
      <w:r w:rsidR="00A03DF9">
        <w:t xml:space="preserve">you can space out the </w:t>
      </w:r>
      <w:r w:rsidR="00500277">
        <w:t>intervals.</w:t>
      </w:r>
      <w:r w:rsidR="00775A59">
        <w:t xml:space="preserve"> </w:t>
      </w:r>
      <w:r w:rsidR="004B30A0">
        <w:t xml:space="preserve">You should also ensure that the minimum </w:t>
      </w:r>
      <w:proofErr w:type="spellStart"/>
      <w:r w:rsidR="004B30A0">
        <w:t>followup</w:t>
      </w:r>
      <w:proofErr w:type="spellEnd"/>
      <w:r w:rsidR="004B30A0">
        <w:t xml:space="preserve"> lies at the end of an interval (I’ll explain why in the next blog post). </w:t>
      </w:r>
      <w:r w:rsidR="00151282">
        <w:t>F</w:t>
      </w:r>
      <w:r w:rsidR="00775A59">
        <w:t>or 10b</w:t>
      </w:r>
      <w:r w:rsidR="005A03FC">
        <w:t>,</w:t>
      </w:r>
      <w:r w:rsidR="00775A59">
        <w:t xml:space="preserve"> only the survival proportions</w:t>
      </w:r>
      <w:r w:rsidR="005A03FC">
        <w:t xml:space="preserve"> at the times of the reported numbers at risk need to be extracted.</w:t>
      </w:r>
    </w:p>
    <w:p w:rsidR="005A03FC" w:rsidRDefault="005A03FC" w:rsidP="005A03FC"/>
    <w:p w:rsidR="00CE6020" w:rsidRDefault="00500277" w:rsidP="00566187">
      <w:pPr>
        <w:autoSpaceDE w:val="0"/>
        <w:autoSpaceDN w:val="0"/>
        <w:adjustRightInd w:val="0"/>
        <w:jc w:val="left"/>
      </w:pPr>
      <w:r w:rsidRPr="00500277">
        <w:t xml:space="preserve">I’m going to </w:t>
      </w:r>
      <w:r w:rsidR="000C0658">
        <w:t>illustrate th</w:t>
      </w:r>
      <w:r w:rsidR="00D47772">
        <w:t>e use of the spreadsheet</w:t>
      </w:r>
      <w:r w:rsidR="00CE6020">
        <w:t xml:space="preserve"> by working through an example based on</w:t>
      </w:r>
      <w:r w:rsidR="00E07F2E">
        <w:t xml:space="preserve"> </w:t>
      </w:r>
      <w:r w:rsidRPr="00500277">
        <w:t xml:space="preserve">the </w:t>
      </w:r>
      <w:hyperlink r:id="rId12" w:history="1">
        <w:r w:rsidRPr="00327771">
          <w:rPr>
            <w:rStyle w:val="Hyperlink"/>
          </w:rPr>
          <w:t>FLOT4 trial</w:t>
        </w:r>
      </w:hyperlink>
      <w:r w:rsidR="00CE6020">
        <w:rPr>
          <w:rStyle w:val="Hyperlink"/>
        </w:rPr>
        <w:t>.</w:t>
      </w:r>
      <w:r w:rsidRPr="00500277">
        <w:t xml:space="preserve"> </w:t>
      </w:r>
      <w:r w:rsidR="00A37638">
        <w:t xml:space="preserve">This </w:t>
      </w:r>
      <w:r w:rsidR="00CE6020">
        <w:t>was</w:t>
      </w:r>
      <w:r w:rsidR="00A37638">
        <w:t xml:space="preserve"> a trial of two different peri-operative chemotherapy </w:t>
      </w:r>
      <w:proofErr w:type="spellStart"/>
      <w:r w:rsidR="00A37638">
        <w:t>regimes</w:t>
      </w:r>
      <w:proofErr w:type="spellEnd"/>
      <w:r w:rsidR="00A37638">
        <w:t xml:space="preserve"> – </w:t>
      </w:r>
      <w:r w:rsidR="00A37638" w:rsidRPr="00A37638">
        <w:rPr>
          <w:rFonts w:cstheme="minorHAnsi"/>
          <w:bCs/>
          <w:szCs w:val="24"/>
        </w:rPr>
        <w:t>fluorouracil plus</w:t>
      </w:r>
      <w:r w:rsidR="00A37638">
        <w:rPr>
          <w:rFonts w:cstheme="minorHAnsi"/>
          <w:bCs/>
          <w:szCs w:val="24"/>
        </w:rPr>
        <w:t xml:space="preserve"> </w:t>
      </w:r>
      <w:r w:rsidR="00A37638" w:rsidRPr="00A37638">
        <w:rPr>
          <w:rFonts w:cstheme="minorHAnsi"/>
          <w:bCs/>
          <w:szCs w:val="24"/>
        </w:rPr>
        <w:t xml:space="preserve">leucovorin, oxaliplatin and </w:t>
      </w:r>
      <w:proofErr w:type="spellStart"/>
      <w:r w:rsidR="00A37638" w:rsidRPr="00A37638">
        <w:rPr>
          <w:rFonts w:cstheme="minorHAnsi"/>
          <w:bCs/>
          <w:szCs w:val="24"/>
        </w:rPr>
        <w:t>docetax</w:t>
      </w:r>
      <w:proofErr w:type="spellEnd"/>
      <w:r w:rsidR="00A37638">
        <w:rPr>
          <w:rFonts w:cstheme="minorHAnsi"/>
          <w:bCs/>
          <w:szCs w:val="24"/>
        </w:rPr>
        <w:t xml:space="preserve"> (FLOT group) and </w:t>
      </w:r>
      <w:proofErr w:type="spellStart"/>
      <w:proofErr w:type="gramStart"/>
      <w:r w:rsidR="00A37638" w:rsidRPr="00A37638">
        <w:rPr>
          <w:rFonts w:cstheme="minorHAnsi"/>
          <w:bCs/>
          <w:szCs w:val="24"/>
        </w:rPr>
        <w:t>epirubicin</w:t>
      </w:r>
      <w:proofErr w:type="spellEnd"/>
      <w:r w:rsidR="00A37638">
        <w:rPr>
          <w:rFonts w:cstheme="minorHAnsi"/>
          <w:bCs/>
          <w:szCs w:val="24"/>
        </w:rPr>
        <w:t xml:space="preserve">, </w:t>
      </w:r>
      <w:r w:rsidR="00A37638" w:rsidRPr="00A37638">
        <w:rPr>
          <w:rFonts w:cstheme="minorHAnsi"/>
          <w:bCs/>
          <w:szCs w:val="24"/>
        </w:rPr>
        <w:t xml:space="preserve"> cisplatin</w:t>
      </w:r>
      <w:proofErr w:type="gramEnd"/>
      <w:r w:rsidR="00A37638">
        <w:rPr>
          <w:rFonts w:cstheme="minorHAnsi"/>
          <w:bCs/>
          <w:szCs w:val="24"/>
        </w:rPr>
        <w:t xml:space="preserve">, </w:t>
      </w:r>
      <w:r w:rsidR="00A37638" w:rsidRPr="00A37638">
        <w:rPr>
          <w:rFonts w:cstheme="minorHAnsi"/>
          <w:bCs/>
          <w:szCs w:val="24"/>
        </w:rPr>
        <w:t xml:space="preserve">fluorouracil or </w:t>
      </w:r>
      <w:r w:rsidR="00A37638">
        <w:rPr>
          <w:rFonts w:cstheme="minorHAnsi"/>
          <w:bCs/>
          <w:szCs w:val="24"/>
        </w:rPr>
        <w:t>c</w:t>
      </w:r>
      <w:r w:rsidR="00A37638" w:rsidRPr="00A37638">
        <w:rPr>
          <w:rFonts w:cstheme="minorHAnsi"/>
          <w:bCs/>
          <w:szCs w:val="24"/>
        </w:rPr>
        <w:t xml:space="preserve">apecitabine </w:t>
      </w:r>
      <w:r w:rsidR="003A0C28">
        <w:rPr>
          <w:rFonts w:cstheme="minorHAnsi"/>
          <w:bCs/>
          <w:szCs w:val="24"/>
        </w:rPr>
        <w:t xml:space="preserve">(ECF/ECX </w:t>
      </w:r>
      <w:r w:rsidR="00A6399C">
        <w:rPr>
          <w:rFonts w:cstheme="minorHAnsi"/>
          <w:bCs/>
          <w:szCs w:val="24"/>
        </w:rPr>
        <w:t xml:space="preserve">comparator </w:t>
      </w:r>
      <w:r w:rsidR="003A0C28">
        <w:rPr>
          <w:rFonts w:cstheme="minorHAnsi"/>
          <w:bCs/>
          <w:szCs w:val="24"/>
        </w:rPr>
        <w:t>group)</w:t>
      </w:r>
      <w:r w:rsidR="00CE6020">
        <w:rPr>
          <w:rFonts w:cstheme="minorHAnsi"/>
          <w:bCs/>
          <w:szCs w:val="24"/>
        </w:rPr>
        <w:t xml:space="preserve"> in patients with </w:t>
      </w:r>
      <w:r w:rsidR="00CE6020" w:rsidRPr="00500277">
        <w:t>gastric or gastro-oesophageal cancer.</w:t>
      </w:r>
    </w:p>
    <w:p w:rsidR="00500277" w:rsidRDefault="00CE6020" w:rsidP="00566187">
      <w:pPr>
        <w:autoSpaceDE w:val="0"/>
        <w:autoSpaceDN w:val="0"/>
        <w:adjustRightInd w:val="0"/>
        <w:jc w:val="left"/>
      </w:pPr>
      <w:r>
        <w:t xml:space="preserve">The </w:t>
      </w:r>
      <w:r w:rsidR="007967EA">
        <w:t xml:space="preserve">reported </w:t>
      </w:r>
      <w:r>
        <w:t xml:space="preserve">HR </w:t>
      </w:r>
      <w:r w:rsidR="007967EA">
        <w:t xml:space="preserve">for overall survival </w:t>
      </w:r>
      <w:r>
        <w:t>is 0.77 (95% CI 0.63 to 0.94)</w:t>
      </w:r>
      <w:r w:rsidR="007967EA">
        <w:t xml:space="preserve"> and here a</w:t>
      </w:r>
      <w:r>
        <w:t>re</w:t>
      </w:r>
      <w:r w:rsidR="00631529">
        <w:t xml:space="preserve"> the </w:t>
      </w:r>
      <w:r w:rsidR="003F6D7E">
        <w:t>K-</w:t>
      </w:r>
      <w:r w:rsidR="003F6D7E" w:rsidRPr="006E4F9A">
        <w:rPr>
          <w:color w:val="000000" w:themeColor="text1"/>
        </w:rPr>
        <w:t>M</w:t>
      </w:r>
      <w:r w:rsidR="003A0C28" w:rsidRPr="006E4F9A">
        <w:rPr>
          <w:color w:val="000000" w:themeColor="text1"/>
        </w:rPr>
        <w:t xml:space="preserve"> curve</w:t>
      </w:r>
      <w:r w:rsidR="00D47772" w:rsidRPr="006E4F9A">
        <w:rPr>
          <w:color w:val="000000" w:themeColor="text1"/>
        </w:rPr>
        <w:t>s</w:t>
      </w:r>
      <w:r w:rsidR="006E4F9A">
        <w:rPr>
          <w:color w:val="000000" w:themeColor="text1"/>
        </w:rPr>
        <w:t>.</w:t>
      </w:r>
      <w:r w:rsidR="002A18FE">
        <w:t>:</w:t>
      </w:r>
      <w:r w:rsidR="0013668A">
        <w:t xml:space="preserve"> </w:t>
      </w:r>
    </w:p>
    <w:p w:rsidR="00035860" w:rsidRDefault="002A18FE" w:rsidP="00D47A3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AC0AC9E" wp14:editId="3D9599E1">
            <wp:extent cx="3038676" cy="201941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7179" cy="206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69" w:rsidRPr="006E4F9A" w:rsidRDefault="00D85F69" w:rsidP="00D85F69">
      <w:pPr>
        <w:jc w:val="left"/>
        <w:rPr>
          <w:color w:val="000000" w:themeColor="text1"/>
          <w:u w:val="single"/>
        </w:rPr>
      </w:pPr>
      <w:r>
        <w:t>Here</w:t>
      </w:r>
      <w:r w:rsidR="00637858">
        <w:t xml:space="preserve"> are</w:t>
      </w:r>
      <w:r>
        <w:t xml:space="preserve"> the extracted data</w:t>
      </w:r>
      <w:r w:rsidRPr="009B45EA">
        <w:t xml:space="preserve"> </w:t>
      </w:r>
      <w:r w:rsidR="006E4F9A" w:rsidRPr="009B45EA">
        <w:t xml:space="preserve">(which I extracted using the software that I demonstrated in my </w:t>
      </w:r>
      <w:hyperlink r:id="rId14" w:history="1">
        <w:r w:rsidR="006E4F9A" w:rsidRPr="009B45EA">
          <w:rPr>
            <w:rStyle w:val="Hyperlink"/>
            <w:color w:val="0070C0"/>
          </w:rPr>
          <w:t>video post</w:t>
        </w:r>
      </w:hyperlink>
      <w:r w:rsidR="006E4F9A" w:rsidRPr="009B45EA">
        <w:t xml:space="preserve">) </w:t>
      </w:r>
      <w:r>
        <w:t xml:space="preserve">tabulated with the reported numbers </w:t>
      </w:r>
      <w:r w:rsidR="00F80A4D">
        <w:t xml:space="preserve">of patients </w:t>
      </w:r>
      <w:r>
        <w:t>at risk</w:t>
      </w:r>
      <w:r w:rsidR="00880890">
        <w:t>:</w:t>
      </w:r>
    </w:p>
    <w:p w:rsidR="00637858" w:rsidRDefault="00637858" w:rsidP="00D85F69">
      <w:pPr>
        <w:jc w:val="left"/>
      </w:pPr>
    </w:p>
    <w:p w:rsidR="001B630B" w:rsidRPr="00D93623" w:rsidRDefault="00723DE9" w:rsidP="001B630B">
      <w:pPr>
        <w:rPr>
          <w:szCs w:val="24"/>
        </w:rPr>
      </w:pPr>
      <w:r w:rsidRPr="009B45EA">
        <w:rPr>
          <w:szCs w:val="24"/>
        </w:rPr>
        <w:t>Table</w:t>
      </w:r>
      <w:r w:rsidR="001B630B" w:rsidRPr="009B45EA">
        <w:rPr>
          <w:szCs w:val="24"/>
        </w:rPr>
        <w:t xml:space="preserve">. </w:t>
      </w:r>
      <w:r w:rsidR="00202D76">
        <w:rPr>
          <w:szCs w:val="24"/>
        </w:rPr>
        <w:t>Data</w:t>
      </w:r>
      <w:r w:rsidR="001B630B" w:rsidRPr="00D93623">
        <w:rPr>
          <w:szCs w:val="24"/>
        </w:rPr>
        <w:t xml:space="preserve"> for the FLOT4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1843"/>
      </w:tblGrid>
      <w:tr w:rsidR="001B630B" w:rsidRPr="00CD56FD" w:rsidTr="003C1471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Time at start of interval (months)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CE6020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Survival (event-free)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Reported numbers at risk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360</w:t>
            </w:r>
          </w:p>
        </w:tc>
      </w:tr>
      <w:tr w:rsidR="00A45364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E22ECC" w:rsidP="00E2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A4536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45364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1B630B" w:rsidRPr="00CD56FD" w:rsidTr="00A4536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A45364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287</w:t>
            </w:r>
          </w:p>
        </w:tc>
      </w:tr>
      <w:tr w:rsidR="00A45364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Default="00A45364" w:rsidP="00A4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A45364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A4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364" w:rsidRPr="00D93623" w:rsidRDefault="00A45364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126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30B" w:rsidRPr="00D93623" w:rsidRDefault="001B630B" w:rsidP="00D53E77">
            <w:pPr>
              <w:jc w:val="center"/>
              <w:rPr>
                <w:sz w:val="18"/>
                <w:szCs w:val="18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D93623" w:rsidRDefault="001B630B" w:rsidP="00D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630B" w:rsidRPr="00CD56FD" w:rsidTr="003C14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30B" w:rsidRPr="00CD56FD" w:rsidRDefault="001B630B" w:rsidP="00D53E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</w:tbl>
    <w:p w:rsidR="00035860" w:rsidRDefault="00035860" w:rsidP="00DC7347">
      <w:pPr>
        <w:jc w:val="center"/>
      </w:pPr>
    </w:p>
    <w:p w:rsidR="007967EA" w:rsidRDefault="000A25BF" w:rsidP="00C94A37">
      <w:r>
        <w:t>The 1</w:t>
      </w:r>
      <w:r w:rsidRPr="000A25BF">
        <w:rPr>
          <w:vertAlign w:val="superscript"/>
        </w:rPr>
        <w:t>st</w:t>
      </w:r>
      <w:r w:rsidR="00252A4D">
        <w:t xml:space="preserve"> worksheet</w:t>
      </w:r>
      <w:r w:rsidR="007967EA">
        <w:t xml:space="preserve"> of the spreadsheet calculator</w:t>
      </w:r>
      <w:r w:rsidR="00252A4D">
        <w:t xml:space="preserve"> </w:t>
      </w:r>
      <w:r>
        <w:t xml:space="preserve">(Figure 1) </w:t>
      </w:r>
      <w:r w:rsidR="00252A4D">
        <w:t xml:space="preserve">is the summary input data screen. This shows the time-to-event data that was reported (in the white cells) </w:t>
      </w:r>
      <w:r w:rsidR="007967EA">
        <w:t>for</w:t>
      </w:r>
      <w:r w:rsidR="00252A4D">
        <w:t xml:space="preserve"> the FLOT</w:t>
      </w:r>
      <w:r w:rsidR="00776D60">
        <w:t>4</w:t>
      </w:r>
      <w:r w:rsidR="00252A4D">
        <w:t xml:space="preserve"> trial</w:t>
      </w:r>
      <w:r w:rsidR="007967EA">
        <w:t>.</w:t>
      </w:r>
    </w:p>
    <w:p w:rsidR="003D47F3" w:rsidRDefault="00252A4D" w:rsidP="00C94A37">
      <w:r>
        <w:t xml:space="preserve"> </w:t>
      </w:r>
    </w:p>
    <w:p w:rsidR="0013668A" w:rsidRDefault="005E156D" w:rsidP="00DC734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253891B" wp14:editId="0827001C">
            <wp:extent cx="4061021" cy="202882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7981" cy="20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6D" w:rsidRDefault="005E156D" w:rsidP="00DC7347">
      <w:pPr>
        <w:jc w:val="center"/>
      </w:pPr>
      <w:r>
        <w:t>Figure 1</w:t>
      </w:r>
      <w:r w:rsidR="00A45331">
        <w:t>. Summary input screen</w:t>
      </w:r>
    </w:p>
    <w:p w:rsidR="00D43C13" w:rsidRDefault="00252A4D" w:rsidP="005D5D23">
      <w:r>
        <w:t>T</w:t>
      </w:r>
      <w:r w:rsidR="00CE6020">
        <w:t>he 2</w:t>
      </w:r>
      <w:r w:rsidR="00CE6020" w:rsidRPr="00CE6020">
        <w:rPr>
          <w:vertAlign w:val="superscript"/>
        </w:rPr>
        <w:t>nd</w:t>
      </w:r>
      <w:r w:rsidR="00CE6020">
        <w:t xml:space="preserve"> worksheet </w:t>
      </w:r>
      <w:r w:rsidR="00DC7347">
        <w:t>(Figure 2)</w:t>
      </w:r>
      <w:r>
        <w:t xml:space="preserve"> show</w:t>
      </w:r>
      <w:r w:rsidR="00A45331">
        <w:t>s</w:t>
      </w:r>
      <w:r>
        <w:t xml:space="preserve"> the extracted curve and </w:t>
      </w:r>
      <w:proofErr w:type="spellStart"/>
      <w:r>
        <w:t>followup</w:t>
      </w:r>
      <w:proofErr w:type="spellEnd"/>
      <w:r>
        <w:t xml:space="preserve"> data</w:t>
      </w:r>
      <w:r w:rsidR="00DC7347">
        <w:t xml:space="preserve">. </w:t>
      </w:r>
      <w:r w:rsidR="00CE6020">
        <w:t xml:space="preserve">The </w:t>
      </w:r>
      <w:proofErr w:type="spellStart"/>
      <w:r w:rsidR="00CE6020">
        <w:t>followup</w:t>
      </w:r>
      <w:proofErr w:type="spellEnd"/>
      <w:r w:rsidR="00CE6020">
        <w:t xml:space="preserve"> data </w:t>
      </w:r>
      <w:r>
        <w:t xml:space="preserve">was not </w:t>
      </w:r>
      <w:r w:rsidR="00CE6020">
        <w:t xml:space="preserve">reported </w:t>
      </w:r>
      <w:r w:rsidR="007967EA">
        <w:t>and</w:t>
      </w:r>
      <w:r w:rsidR="00CE6020">
        <w:t xml:space="preserve"> </w:t>
      </w:r>
      <w:r w:rsidR="00EC7201">
        <w:t>I estimated the minimum follow</w:t>
      </w:r>
      <w:r w:rsidR="00880890">
        <w:t>-</w:t>
      </w:r>
      <w:r w:rsidR="00EC7201">
        <w:t xml:space="preserve">up to be </w:t>
      </w:r>
      <w:r w:rsidR="007967EA">
        <w:t>15</w:t>
      </w:r>
      <w:r w:rsidR="00EC7201">
        <w:t xml:space="preserve"> months and the maximum follow-up to be 80 months. </w:t>
      </w:r>
      <w:r>
        <w:t>Note that u</w:t>
      </w:r>
      <w:r w:rsidR="00D47772">
        <w:t xml:space="preserve">sing the </w:t>
      </w:r>
      <w:r w:rsidR="00CE6020">
        <w:t xml:space="preserve">data-extraction </w:t>
      </w:r>
      <w:r w:rsidR="00D47772">
        <w:t xml:space="preserve">software that I demonstrated </w:t>
      </w:r>
      <w:hyperlink r:id="rId16" w:history="1">
        <w:r w:rsidR="00D47772" w:rsidRPr="00D84A17">
          <w:rPr>
            <w:rStyle w:val="Hyperlink"/>
          </w:rPr>
          <w:t>previously</w:t>
        </w:r>
      </w:hyperlink>
      <w:r w:rsidR="00D47772">
        <w:t xml:space="preserve"> </w:t>
      </w:r>
      <w:r w:rsidR="00880890">
        <w:t xml:space="preserve">produces </w:t>
      </w:r>
      <w:r w:rsidR="00D47772">
        <w:t>numbers to many decimal places</w:t>
      </w:r>
      <w:r>
        <w:t xml:space="preserve"> but </w:t>
      </w:r>
      <w:r w:rsidR="00D43C13">
        <w:t>t</w:t>
      </w:r>
      <w:r w:rsidR="00D47772">
        <w:t xml:space="preserve">he times need to be </w:t>
      </w:r>
      <w:r w:rsidR="00D43C13">
        <w:t>input</w:t>
      </w:r>
      <w:r>
        <w:t>ted</w:t>
      </w:r>
      <w:r w:rsidR="00D43C13">
        <w:t xml:space="preserve"> as </w:t>
      </w:r>
      <w:r w:rsidR="00D47772">
        <w:t>integers.</w:t>
      </w:r>
      <w:r w:rsidR="007967EA">
        <w:t xml:space="preserve"> I also entered the survival curves as integers so that the calculated numbers in my worked examples</w:t>
      </w:r>
      <w:r w:rsidR="00D84A17">
        <w:t xml:space="preserve"> in the next two posts</w:t>
      </w:r>
      <w:r w:rsidR="007967EA">
        <w:t xml:space="preserve"> match exactly the calculated numbers in the spreadsheet.</w:t>
      </w:r>
      <w:r w:rsidR="00D47772">
        <w:t xml:space="preserve"> </w:t>
      </w:r>
    </w:p>
    <w:p w:rsidR="00CE6020" w:rsidRDefault="00CE6020" w:rsidP="00CE6020"/>
    <w:p w:rsidR="00CE6020" w:rsidRDefault="00CE6020" w:rsidP="00CE6020">
      <w:r>
        <w:t xml:space="preserve">The figure in the right hand corner gives the estimated HR as 0.78 (the reported HR is 0.77). The accuracy of the calculated HR </w:t>
      </w:r>
      <w:r w:rsidR="007967EA">
        <w:t xml:space="preserve">is pretty good but it </w:t>
      </w:r>
      <w:r>
        <w:t xml:space="preserve">could be improved by </w:t>
      </w:r>
      <w:r w:rsidR="00252A4D">
        <w:t xml:space="preserve">making the intervals smaller and </w:t>
      </w:r>
      <w:r>
        <w:t xml:space="preserve">extracting more data points. </w:t>
      </w:r>
    </w:p>
    <w:p w:rsidR="00D43C13" w:rsidRDefault="00D43C13" w:rsidP="005D5D23"/>
    <w:p w:rsidR="005E156D" w:rsidRDefault="00E22ECC" w:rsidP="007072BF">
      <w:pPr>
        <w:jc w:val="center"/>
      </w:pPr>
      <w:r>
        <w:rPr>
          <w:noProof/>
          <w:lang w:eastAsia="en-GB"/>
        </w:rPr>
        <w:drawing>
          <wp:inline distT="0" distB="0" distL="0" distR="0" wp14:anchorId="1C2488DF" wp14:editId="6DDC2A1B">
            <wp:extent cx="4808378" cy="29015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6124" cy="290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6D" w:rsidRDefault="005E156D" w:rsidP="00DC7347">
      <w:pPr>
        <w:jc w:val="center"/>
      </w:pPr>
      <w:r>
        <w:t>Figure 2</w:t>
      </w:r>
      <w:r w:rsidR="00A45331">
        <w:t xml:space="preserve">. Curve and </w:t>
      </w:r>
      <w:proofErr w:type="spellStart"/>
      <w:r w:rsidR="00A45331">
        <w:t>followup</w:t>
      </w:r>
      <w:proofErr w:type="spellEnd"/>
      <w:r w:rsidR="00A45331">
        <w:t xml:space="preserve"> data</w:t>
      </w:r>
    </w:p>
    <w:p w:rsidR="00D84A17" w:rsidRDefault="00D84A17" w:rsidP="00CE6020"/>
    <w:p w:rsidR="00CE6020" w:rsidRDefault="00CE6020" w:rsidP="00CE6020">
      <w:r w:rsidRPr="00D43C13">
        <w:t xml:space="preserve">The spreadsheet plots the </w:t>
      </w:r>
      <w:r>
        <w:t xml:space="preserve">extracted </w:t>
      </w:r>
      <w:r w:rsidRPr="00D43C13">
        <w:t>data</w:t>
      </w:r>
      <w:r w:rsidR="00252A4D">
        <w:t xml:space="preserve"> in the </w:t>
      </w:r>
      <w:r w:rsidR="007967EA">
        <w:t>next</w:t>
      </w:r>
      <w:r w:rsidR="00252A4D">
        <w:t xml:space="preserve"> worksheet</w:t>
      </w:r>
      <w:r w:rsidRPr="00D43C13">
        <w:t xml:space="preserve"> (Figure 3).  </w:t>
      </w:r>
    </w:p>
    <w:p w:rsidR="00512CC0" w:rsidRDefault="00512CC0" w:rsidP="00C94A37"/>
    <w:p w:rsidR="0013668A" w:rsidRDefault="00E22ECC" w:rsidP="00CB13B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7083A96" wp14:editId="431459C6">
            <wp:extent cx="4066142" cy="171075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3723" cy="17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A" w:rsidRDefault="00DC7347" w:rsidP="00DC7347">
      <w:pPr>
        <w:jc w:val="center"/>
      </w:pPr>
      <w:r>
        <w:t>Figure 3</w:t>
      </w:r>
      <w:r w:rsidR="00A45331">
        <w:t xml:space="preserve">. Plotted data corresponding with </w:t>
      </w:r>
      <w:r w:rsidR="00135A80">
        <w:t xml:space="preserve">screen shot shown in </w:t>
      </w:r>
      <w:r w:rsidR="00A45331">
        <w:t>Figure 2</w:t>
      </w:r>
    </w:p>
    <w:p w:rsidR="00D47772" w:rsidRDefault="00D47772" w:rsidP="00DC7347">
      <w:pPr>
        <w:jc w:val="center"/>
      </w:pPr>
    </w:p>
    <w:p w:rsidR="00D84A17" w:rsidRDefault="00D84A17" w:rsidP="00DC7347"/>
    <w:p w:rsidR="00DC7347" w:rsidRDefault="000A25BF" w:rsidP="00DC7347">
      <w:r>
        <w:t>T</w:t>
      </w:r>
      <w:r w:rsidR="00252A4D">
        <w:t>he 4</w:t>
      </w:r>
      <w:r w:rsidR="00252A4D" w:rsidRPr="00252A4D">
        <w:rPr>
          <w:vertAlign w:val="superscript"/>
        </w:rPr>
        <w:t>th</w:t>
      </w:r>
      <w:r w:rsidR="00252A4D">
        <w:t xml:space="preserve"> worksheet </w:t>
      </w:r>
      <w:r>
        <w:t>(Figure 4) includes</w:t>
      </w:r>
      <w:r w:rsidR="00252A4D">
        <w:t xml:space="preserve"> the numbers are risk and corresponding survival fractions. </w:t>
      </w:r>
    </w:p>
    <w:p w:rsidR="0013668A" w:rsidRDefault="00075216" w:rsidP="00075216">
      <w:pPr>
        <w:jc w:val="center"/>
      </w:pPr>
      <w:r>
        <w:rPr>
          <w:noProof/>
          <w:lang w:eastAsia="en-GB"/>
        </w:rPr>
        <w:drawing>
          <wp:inline distT="0" distB="0" distL="0" distR="0" wp14:anchorId="75AD29A3" wp14:editId="64882DDB">
            <wp:extent cx="4972897" cy="180898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1641" cy="18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A" w:rsidRDefault="00DC7347" w:rsidP="00DC7347">
      <w:pPr>
        <w:jc w:val="center"/>
      </w:pPr>
      <w:r>
        <w:t>Figure 4</w:t>
      </w:r>
      <w:r w:rsidR="00A45331">
        <w:t>. Curve data and reported numbers at risk</w:t>
      </w:r>
    </w:p>
    <w:p w:rsidR="005E156D" w:rsidRDefault="005D5D23" w:rsidP="00C94A37">
      <w:r>
        <w:t>For this case the calculated HR</w:t>
      </w:r>
      <w:r w:rsidR="00DF2D45">
        <w:t>, shown in the upper right hand corner,</w:t>
      </w:r>
      <w:r>
        <w:t xml:space="preserve"> is 0.79</w:t>
      </w:r>
      <w:r w:rsidR="00DF2D45">
        <w:t xml:space="preserve">, which with the plotted curve (Figure 5) indicates the lower accuracy </w:t>
      </w:r>
      <w:r w:rsidR="007967EA">
        <w:t xml:space="preserve">with </w:t>
      </w:r>
      <w:r w:rsidR="00DF2D45">
        <w:t>less data.</w:t>
      </w:r>
      <w:r w:rsidR="00DC7347">
        <w:t xml:space="preserve"> </w:t>
      </w:r>
    </w:p>
    <w:p w:rsidR="00E22ECC" w:rsidRDefault="00E22ECC" w:rsidP="00C94A37"/>
    <w:p w:rsidR="005E156D" w:rsidRDefault="00075216" w:rsidP="00DC7347">
      <w:pPr>
        <w:jc w:val="center"/>
      </w:pPr>
      <w:r>
        <w:rPr>
          <w:noProof/>
          <w:lang w:eastAsia="en-GB"/>
        </w:rPr>
        <w:drawing>
          <wp:inline distT="0" distB="0" distL="0" distR="0" wp14:anchorId="274591DA" wp14:editId="74E2FAF7">
            <wp:extent cx="5041311" cy="1978236"/>
            <wp:effectExtent l="0" t="0" r="698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7102" cy="198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66" w:rsidRDefault="00DC7347" w:rsidP="00DC7347">
      <w:pPr>
        <w:jc w:val="center"/>
      </w:pPr>
      <w:r>
        <w:t>Figure 5</w:t>
      </w:r>
      <w:r w:rsidR="00A45331">
        <w:t>. Plotted data</w:t>
      </w:r>
      <w:r w:rsidR="00A45331" w:rsidRPr="00A45331">
        <w:t xml:space="preserve"> </w:t>
      </w:r>
      <w:r w:rsidR="00A45331">
        <w:t xml:space="preserve">corresponding with </w:t>
      </w:r>
      <w:r w:rsidR="00135A80">
        <w:t xml:space="preserve">screen shot shown in </w:t>
      </w:r>
      <w:r w:rsidR="00A45331">
        <w:t xml:space="preserve">Figure </w:t>
      </w:r>
      <w:r w:rsidR="00135A80">
        <w:t>4</w:t>
      </w:r>
    </w:p>
    <w:p w:rsidR="00E22ECC" w:rsidRDefault="00E22ECC" w:rsidP="00DC7347">
      <w:pPr>
        <w:jc w:val="center"/>
      </w:pPr>
    </w:p>
    <w:p w:rsidR="00401E5E" w:rsidRDefault="00DF2D45" w:rsidP="00C94A37">
      <w:r>
        <w:t xml:space="preserve">The output screen </w:t>
      </w:r>
      <w:r w:rsidR="007967EA">
        <w:t xml:space="preserve">(Figure 6) </w:t>
      </w:r>
      <w:r>
        <w:t xml:space="preserve">provides the </w:t>
      </w:r>
      <w:r w:rsidR="008C1A8A">
        <w:t xml:space="preserve">estimated </w:t>
      </w:r>
      <w:r>
        <w:t>HRs with their confidence intervals.</w:t>
      </w:r>
      <w:r w:rsidR="00934FD4">
        <w:t xml:space="preserve"> The estimated HR using the survival curve and follow-up data is 0.7</w:t>
      </w:r>
      <w:r w:rsidR="00512CC0">
        <w:t>8</w:t>
      </w:r>
      <w:r w:rsidR="00934FD4">
        <w:t xml:space="preserve"> (0.64 to 0.9</w:t>
      </w:r>
      <w:r w:rsidR="00512CC0">
        <w:t>6</w:t>
      </w:r>
      <w:r w:rsidR="00934FD4">
        <w:t xml:space="preserve">) and the estimated HR using the survival curve and the numbers at risk is 0.79 (0.64 to 0.97). Both these estimates are </w:t>
      </w:r>
      <w:r w:rsidR="00BE19CA">
        <w:t xml:space="preserve">very </w:t>
      </w:r>
      <w:r w:rsidR="00934FD4">
        <w:t xml:space="preserve">close to the actual HR </w:t>
      </w:r>
      <w:r w:rsidR="00BE19CA">
        <w:t>of 0.77 (0.63 to 0.97)</w:t>
      </w:r>
      <w:r w:rsidR="00934FD4">
        <w:t>.</w:t>
      </w:r>
    </w:p>
    <w:p w:rsidR="00DC7347" w:rsidRDefault="00E22ECC" w:rsidP="0007521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B058E33" wp14:editId="2F227CA2">
            <wp:extent cx="4060174" cy="2770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5589" cy="27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47" w:rsidRDefault="00DC7347" w:rsidP="00DC7347">
      <w:pPr>
        <w:jc w:val="center"/>
      </w:pPr>
      <w:r>
        <w:t>Figure 6</w:t>
      </w:r>
      <w:r w:rsidR="00135A80">
        <w:t>. Output screen</w:t>
      </w:r>
    </w:p>
    <w:p w:rsidR="00880890" w:rsidRPr="00E21BD8" w:rsidRDefault="00880890" w:rsidP="00880890">
      <w:r>
        <w:t>In my next two blog posts, I’m going to look more closely at the equations underlying the</w:t>
      </w:r>
      <w:r w:rsidR="009801C4">
        <w:t>se</w:t>
      </w:r>
      <w:r>
        <w:t xml:space="preserve"> spreadsheet calculations. I will first deal with the case of estimating a HR from </w:t>
      </w:r>
      <w:r w:rsidRPr="00E21BD8">
        <w:t>K</w:t>
      </w:r>
      <w:r>
        <w:t xml:space="preserve">-M curves </w:t>
      </w:r>
      <w:r w:rsidRPr="00E21BD8">
        <w:t xml:space="preserve">reported </w:t>
      </w:r>
      <w:r>
        <w:t>with follow-up information</w:t>
      </w:r>
      <w:r w:rsidR="00151282">
        <w:t xml:space="preserve"> (10a)</w:t>
      </w:r>
      <w:r>
        <w:t>.</w:t>
      </w:r>
    </w:p>
    <w:p w:rsidR="003F6D7E" w:rsidRDefault="003F6D7E" w:rsidP="003F6D7E"/>
    <w:p w:rsidR="00D47A31" w:rsidRDefault="00D47A31" w:rsidP="00C94A37"/>
    <w:p w:rsidR="00DC7347" w:rsidRDefault="00DC7347" w:rsidP="00C94A37"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BCF0" wp14:editId="34232DA9">
                <wp:simplePos x="0" y="0"/>
                <wp:positionH relativeFrom="margin">
                  <wp:posOffset>1076325</wp:posOffset>
                </wp:positionH>
                <wp:positionV relativeFrom="paragraph">
                  <wp:posOffset>69215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2B6" w:rsidRDefault="00E10C66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</w:t>
                            </w:r>
                          </w:p>
                          <w:p w:rsidR="00E10C66" w:rsidRDefault="00D43C13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="00FE72B6">
                              <w:rPr>
                                <w:i/>
                                <w:color w:val="000000" w:themeColor="text1"/>
                              </w:rPr>
                              <w:t>here</w:t>
                            </w:r>
                            <w:r w:rsidR="006E19DD">
                              <w:rPr>
                                <w:i/>
                                <w:color w:val="000000" w:themeColor="text1"/>
                              </w:rPr>
                              <w:t xml:space="preserve"> are equations you can use to convert </w:t>
                            </w:r>
                            <w:r w:rsidR="00FE72B6">
                              <w:rPr>
                                <w:i/>
                                <w:color w:val="000000" w:themeColor="text1"/>
                              </w:rPr>
                              <w:t>time-to-event data</w:t>
                            </w:r>
                            <w:r w:rsidR="006E19DD">
                              <w:rPr>
                                <w:i/>
                                <w:color w:val="000000" w:themeColor="text1"/>
                              </w:rPr>
                              <w:t xml:space="preserve"> into a </w:t>
                            </w:r>
                            <w:r w:rsidR="00D84A17">
                              <w:rPr>
                                <w:i/>
                                <w:color w:val="000000" w:themeColor="text1"/>
                              </w:rPr>
                              <w:t xml:space="preserve">suitable </w:t>
                            </w:r>
                            <w:r w:rsidR="006E19DD">
                              <w:rPr>
                                <w:i/>
                                <w:color w:val="000000" w:themeColor="text1"/>
                              </w:rPr>
                              <w:t xml:space="preserve">form for meta-analysis </w:t>
                            </w:r>
                            <w:r w:rsidR="00B96A00">
                              <w:rPr>
                                <w:i/>
                                <w:color w:val="000000" w:themeColor="text1"/>
                              </w:rPr>
                              <w:t xml:space="preserve">and </w:t>
                            </w:r>
                            <w:r w:rsidR="006E19DD">
                              <w:rPr>
                                <w:i/>
                                <w:color w:val="000000" w:themeColor="text1"/>
                              </w:rPr>
                              <w:t xml:space="preserve">there’s a very useful spreadsheet available to do the calculations. </w:t>
                            </w:r>
                          </w:p>
                          <w:p w:rsidR="00E10C66" w:rsidRDefault="00E10C66" w:rsidP="00065A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BCF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84.75pt;margin-top:5.45pt;width:247.2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" fillcolor="#f8cbad" strokecolor="#41719c" strokeweight="1pt">
                <v:stroke joinstyle="miter"/>
                <v:textbox>
                  <w:txbxContent>
                    <w:p w:rsidR="00FE72B6" w:rsidRDefault="00E10C66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</w:t>
                      </w:r>
                    </w:p>
                    <w:p w:rsidR="00E10C66" w:rsidRDefault="00D43C13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</w:t>
                      </w:r>
                      <w:r w:rsidR="00FE72B6">
                        <w:rPr>
                          <w:i/>
                          <w:color w:val="000000" w:themeColor="text1"/>
                        </w:rPr>
                        <w:t>here</w:t>
                      </w:r>
                      <w:r w:rsidR="006E19DD">
                        <w:rPr>
                          <w:i/>
                          <w:color w:val="000000" w:themeColor="text1"/>
                        </w:rPr>
                        <w:t xml:space="preserve"> are equations you can use to convert </w:t>
                      </w:r>
                      <w:r w:rsidR="00FE72B6">
                        <w:rPr>
                          <w:i/>
                          <w:color w:val="000000" w:themeColor="text1"/>
                        </w:rPr>
                        <w:t>time-to-event data</w:t>
                      </w:r>
                      <w:r w:rsidR="006E19DD">
                        <w:rPr>
                          <w:i/>
                          <w:color w:val="000000" w:themeColor="text1"/>
                        </w:rPr>
                        <w:t xml:space="preserve"> into a </w:t>
                      </w:r>
                      <w:r w:rsidR="00D84A17">
                        <w:rPr>
                          <w:i/>
                          <w:color w:val="000000" w:themeColor="text1"/>
                        </w:rPr>
                        <w:t xml:space="preserve">suitable </w:t>
                      </w:r>
                      <w:r w:rsidR="006E19DD">
                        <w:rPr>
                          <w:i/>
                          <w:color w:val="000000" w:themeColor="text1"/>
                        </w:rPr>
                        <w:t xml:space="preserve">form for meta-analysis </w:t>
                      </w:r>
                      <w:r w:rsidR="00B96A00">
                        <w:rPr>
                          <w:i/>
                          <w:color w:val="000000" w:themeColor="text1"/>
                        </w:rPr>
                        <w:t xml:space="preserve">and </w:t>
                      </w:r>
                      <w:r w:rsidR="006E19DD">
                        <w:rPr>
                          <w:i/>
                          <w:color w:val="000000" w:themeColor="text1"/>
                        </w:rPr>
                        <w:t xml:space="preserve">there’s a very useful spreadsheet available to do the calculations. </w:t>
                      </w:r>
                    </w:p>
                    <w:p w:rsidR="00E10C66" w:rsidRDefault="00E10C66" w:rsidP="00065A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347" w:rsidRDefault="00DC7347" w:rsidP="00C94A37"/>
    <w:p w:rsidR="00DC7347" w:rsidRDefault="00DC7347" w:rsidP="00C94A37"/>
    <w:p w:rsidR="00DC7347" w:rsidRDefault="00DC7347" w:rsidP="00C94A37"/>
    <w:p w:rsidR="00DC7347" w:rsidRDefault="00DC7347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261C2" w:rsidRDefault="00E261C2" w:rsidP="00C94A37"/>
    <w:p w:rsidR="00E10C66" w:rsidRDefault="00E10C66" w:rsidP="00C94A37"/>
    <w:p w:rsidR="00F61465" w:rsidRDefault="00F61465" w:rsidP="00F61465">
      <w:pPr>
        <w:jc w:val="left"/>
        <w:rPr>
          <w:b/>
        </w:rPr>
      </w:pPr>
      <w:r>
        <w:rPr>
          <w:b/>
        </w:rPr>
        <w:t xml:space="preserve">Dr Kathy Taylor teaches data extraction in Meta-analysis, </w:t>
      </w:r>
      <w:hyperlink r:id="rId22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This is a short course that is also available as part of our MSc in Evidence-Based Health Care </w:t>
      </w:r>
    </w:p>
    <w:p w:rsidR="00F61465" w:rsidRDefault="009B45EA" w:rsidP="00F61465">
      <w:pPr>
        <w:jc w:val="left"/>
        <w:rPr>
          <w:b/>
        </w:rPr>
      </w:pPr>
      <w:hyperlink r:id="rId23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9B45EA" w:rsidP="00F61465">
      <w:pPr>
        <w:jc w:val="left"/>
        <w:rPr>
          <w:b/>
        </w:rPr>
      </w:pPr>
      <w:hyperlink r:id="rId24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9B45EA" w:rsidP="00F61465">
      <w:pPr>
        <w:jc w:val="left"/>
        <w:rPr>
          <w:b/>
        </w:rPr>
      </w:pPr>
      <w:hyperlink r:id="rId25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0F3DCD" w:rsidRDefault="00BA0F9A" w:rsidP="00F61465">
      <w:r>
        <w:rPr>
          <w:b/>
        </w:rPr>
        <w:t xml:space="preserve">Follow me on </w:t>
      </w:r>
      <w:r w:rsidR="00F61465">
        <w:rPr>
          <w:b/>
        </w:rPr>
        <w:t>Twitter @</w:t>
      </w:r>
      <w:proofErr w:type="spellStart"/>
      <w:r w:rsidR="00F61465">
        <w:rPr>
          <w:b/>
        </w:rPr>
        <w:t>dataextips</w:t>
      </w:r>
      <w:proofErr w:type="spellEnd"/>
      <w:r>
        <w:rPr>
          <w:b/>
        </w:rPr>
        <w:t xml:space="preserve"> </w:t>
      </w:r>
      <w:r w:rsidR="00CA19D1">
        <w:rPr>
          <w:b/>
        </w:rPr>
        <w:t>for</w:t>
      </w:r>
      <w:r>
        <w:rPr>
          <w:b/>
        </w:rPr>
        <w:t xml:space="preserve"> updates on my blog, related news</w:t>
      </w:r>
      <w:r w:rsidR="00CA19D1">
        <w:rPr>
          <w:b/>
        </w:rPr>
        <w:t>,</w:t>
      </w:r>
      <w:r>
        <w:rPr>
          <w:b/>
        </w:rPr>
        <w:t xml:space="preserve"> and </w:t>
      </w:r>
      <w:r w:rsidR="00CA19D1">
        <w:rPr>
          <w:b/>
        </w:rPr>
        <w:t xml:space="preserve">to </w:t>
      </w:r>
      <w:r>
        <w:rPr>
          <w:b/>
        </w:rPr>
        <w:t xml:space="preserve">learn about other </w:t>
      </w:r>
      <w:r w:rsidR="00CA19D1">
        <w:rPr>
          <w:b/>
        </w:rPr>
        <w:t xml:space="preserve">examples where </w:t>
      </w:r>
      <w:r>
        <w:rPr>
          <w:b/>
        </w:rPr>
        <w:t xml:space="preserve">people </w:t>
      </w:r>
      <w:r w:rsidR="00CA19D1">
        <w:rPr>
          <w:b/>
        </w:rPr>
        <w:t xml:space="preserve">are </w:t>
      </w:r>
      <w:r w:rsidR="009B45EA">
        <w:rPr>
          <w:b/>
        </w:rPr>
        <w:t>making</w:t>
      </w:r>
      <w:r>
        <w:rPr>
          <w:b/>
        </w:rPr>
        <w:t xml:space="preserve"> statistics more broadly accessible</w:t>
      </w:r>
      <w:r w:rsidR="00CA19D1">
        <w:rPr>
          <w:b/>
        </w:rPr>
        <w:t xml:space="preserve">. </w:t>
      </w:r>
      <w:r>
        <w:rPr>
          <w:b/>
        </w:rPr>
        <w:t xml:space="preserve"> </w:t>
      </w:r>
    </w:p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397"/>
    <w:multiLevelType w:val="hybridMultilevel"/>
    <w:tmpl w:val="31CEF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070"/>
    <w:multiLevelType w:val="hybridMultilevel"/>
    <w:tmpl w:val="5306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220"/>
    <w:multiLevelType w:val="hybridMultilevel"/>
    <w:tmpl w:val="E7CE8B7C"/>
    <w:lvl w:ilvl="0" w:tplc="6C50D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75866"/>
    <w:multiLevelType w:val="hybridMultilevel"/>
    <w:tmpl w:val="0404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7AE1"/>
    <w:multiLevelType w:val="hybridMultilevel"/>
    <w:tmpl w:val="918AF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D39B5"/>
    <w:multiLevelType w:val="hybridMultilevel"/>
    <w:tmpl w:val="79368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26324"/>
    <w:multiLevelType w:val="hybridMultilevel"/>
    <w:tmpl w:val="51ACA134"/>
    <w:lvl w:ilvl="0" w:tplc="C6DEC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1664E"/>
    <w:multiLevelType w:val="hybridMultilevel"/>
    <w:tmpl w:val="EE5AA6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0"/>
    <w:rsid w:val="00005DCF"/>
    <w:rsid w:val="00007277"/>
    <w:rsid w:val="0000797F"/>
    <w:rsid w:val="00010602"/>
    <w:rsid w:val="00024A49"/>
    <w:rsid w:val="00030E37"/>
    <w:rsid w:val="0003161B"/>
    <w:rsid w:val="00035860"/>
    <w:rsid w:val="00041E32"/>
    <w:rsid w:val="0004354A"/>
    <w:rsid w:val="0004465B"/>
    <w:rsid w:val="000502DA"/>
    <w:rsid w:val="00050B30"/>
    <w:rsid w:val="000523DB"/>
    <w:rsid w:val="00061BC8"/>
    <w:rsid w:val="000622B8"/>
    <w:rsid w:val="00062810"/>
    <w:rsid w:val="00065AB9"/>
    <w:rsid w:val="00072AB2"/>
    <w:rsid w:val="00072FF1"/>
    <w:rsid w:val="00075216"/>
    <w:rsid w:val="00081903"/>
    <w:rsid w:val="00084EC4"/>
    <w:rsid w:val="000873ED"/>
    <w:rsid w:val="000875BC"/>
    <w:rsid w:val="00095DF1"/>
    <w:rsid w:val="000A25BF"/>
    <w:rsid w:val="000A31E7"/>
    <w:rsid w:val="000A72C7"/>
    <w:rsid w:val="000B061E"/>
    <w:rsid w:val="000B2B26"/>
    <w:rsid w:val="000B564A"/>
    <w:rsid w:val="000C0658"/>
    <w:rsid w:val="000C3186"/>
    <w:rsid w:val="000C5427"/>
    <w:rsid w:val="000D08E4"/>
    <w:rsid w:val="000D1CF9"/>
    <w:rsid w:val="000D6955"/>
    <w:rsid w:val="000E1D35"/>
    <w:rsid w:val="000F327C"/>
    <w:rsid w:val="000F3DCD"/>
    <w:rsid w:val="0011090E"/>
    <w:rsid w:val="001125AC"/>
    <w:rsid w:val="00112F97"/>
    <w:rsid w:val="001217CF"/>
    <w:rsid w:val="001308B0"/>
    <w:rsid w:val="00131C6D"/>
    <w:rsid w:val="001325BE"/>
    <w:rsid w:val="0013591A"/>
    <w:rsid w:val="00135A80"/>
    <w:rsid w:val="0013668A"/>
    <w:rsid w:val="00140A00"/>
    <w:rsid w:val="00144D03"/>
    <w:rsid w:val="001475B0"/>
    <w:rsid w:val="00151282"/>
    <w:rsid w:val="00164538"/>
    <w:rsid w:val="00165841"/>
    <w:rsid w:val="00165953"/>
    <w:rsid w:val="00171703"/>
    <w:rsid w:val="0017670D"/>
    <w:rsid w:val="00183FFD"/>
    <w:rsid w:val="00191078"/>
    <w:rsid w:val="00197F74"/>
    <w:rsid w:val="001A2BE8"/>
    <w:rsid w:val="001A5106"/>
    <w:rsid w:val="001A75D3"/>
    <w:rsid w:val="001B37DD"/>
    <w:rsid w:val="001B45DE"/>
    <w:rsid w:val="001B54D2"/>
    <w:rsid w:val="001B563F"/>
    <w:rsid w:val="001B5AA9"/>
    <w:rsid w:val="001B630B"/>
    <w:rsid w:val="001C0913"/>
    <w:rsid w:val="001C09D5"/>
    <w:rsid w:val="001C1D89"/>
    <w:rsid w:val="001C4A6A"/>
    <w:rsid w:val="001C731A"/>
    <w:rsid w:val="001D19F8"/>
    <w:rsid w:val="001D2705"/>
    <w:rsid w:val="001D30D1"/>
    <w:rsid w:val="001D7919"/>
    <w:rsid w:val="001F00A0"/>
    <w:rsid w:val="001F095B"/>
    <w:rsid w:val="001F2235"/>
    <w:rsid w:val="001F25CC"/>
    <w:rsid w:val="001F397C"/>
    <w:rsid w:val="002008C2"/>
    <w:rsid w:val="0020157D"/>
    <w:rsid w:val="0020284E"/>
    <w:rsid w:val="00202D76"/>
    <w:rsid w:val="0021794F"/>
    <w:rsid w:val="0022029A"/>
    <w:rsid w:val="00222B84"/>
    <w:rsid w:val="00226CC2"/>
    <w:rsid w:val="00247EFF"/>
    <w:rsid w:val="00250544"/>
    <w:rsid w:val="00252A4D"/>
    <w:rsid w:val="0027393E"/>
    <w:rsid w:val="00274D67"/>
    <w:rsid w:val="00283E44"/>
    <w:rsid w:val="00285A6D"/>
    <w:rsid w:val="002860CD"/>
    <w:rsid w:val="002922C3"/>
    <w:rsid w:val="00296359"/>
    <w:rsid w:val="002966C3"/>
    <w:rsid w:val="002967CB"/>
    <w:rsid w:val="002A0714"/>
    <w:rsid w:val="002A18FE"/>
    <w:rsid w:val="002A3B34"/>
    <w:rsid w:val="002A4644"/>
    <w:rsid w:val="002A777A"/>
    <w:rsid w:val="002B05DD"/>
    <w:rsid w:val="002B640D"/>
    <w:rsid w:val="002B6D91"/>
    <w:rsid w:val="002C35B6"/>
    <w:rsid w:val="002D00A3"/>
    <w:rsid w:val="002D20F7"/>
    <w:rsid w:val="002D27D1"/>
    <w:rsid w:val="002D3704"/>
    <w:rsid w:val="002D5228"/>
    <w:rsid w:val="002E4DD4"/>
    <w:rsid w:val="002E5A7E"/>
    <w:rsid w:val="002F1085"/>
    <w:rsid w:val="002F1FBB"/>
    <w:rsid w:val="002F4EAE"/>
    <w:rsid w:val="00302055"/>
    <w:rsid w:val="00305F0E"/>
    <w:rsid w:val="00310CB5"/>
    <w:rsid w:val="0031499C"/>
    <w:rsid w:val="00316795"/>
    <w:rsid w:val="003169B9"/>
    <w:rsid w:val="00322064"/>
    <w:rsid w:val="003230C6"/>
    <w:rsid w:val="00325ADC"/>
    <w:rsid w:val="00326E04"/>
    <w:rsid w:val="00327771"/>
    <w:rsid w:val="00327AAA"/>
    <w:rsid w:val="00331DBD"/>
    <w:rsid w:val="00333909"/>
    <w:rsid w:val="003378D4"/>
    <w:rsid w:val="00337D1C"/>
    <w:rsid w:val="003463E4"/>
    <w:rsid w:val="00346A32"/>
    <w:rsid w:val="00352BF0"/>
    <w:rsid w:val="003629B6"/>
    <w:rsid w:val="003714ED"/>
    <w:rsid w:val="0037154F"/>
    <w:rsid w:val="00371AC8"/>
    <w:rsid w:val="00371AF1"/>
    <w:rsid w:val="00372EAD"/>
    <w:rsid w:val="0037395B"/>
    <w:rsid w:val="003741E8"/>
    <w:rsid w:val="0037488E"/>
    <w:rsid w:val="00375F9E"/>
    <w:rsid w:val="00376680"/>
    <w:rsid w:val="0039100C"/>
    <w:rsid w:val="00391FC9"/>
    <w:rsid w:val="0039219A"/>
    <w:rsid w:val="0039648E"/>
    <w:rsid w:val="003A0C28"/>
    <w:rsid w:val="003A6B09"/>
    <w:rsid w:val="003B340D"/>
    <w:rsid w:val="003B4968"/>
    <w:rsid w:val="003C1471"/>
    <w:rsid w:val="003D14AE"/>
    <w:rsid w:val="003D47F3"/>
    <w:rsid w:val="003D5A94"/>
    <w:rsid w:val="003E240A"/>
    <w:rsid w:val="003E34A4"/>
    <w:rsid w:val="003E5601"/>
    <w:rsid w:val="003E68DD"/>
    <w:rsid w:val="003F3B5D"/>
    <w:rsid w:val="003F6D7E"/>
    <w:rsid w:val="00401E5E"/>
    <w:rsid w:val="00402452"/>
    <w:rsid w:val="00403123"/>
    <w:rsid w:val="00405021"/>
    <w:rsid w:val="00412A76"/>
    <w:rsid w:val="0042573B"/>
    <w:rsid w:val="00430366"/>
    <w:rsid w:val="00430A6F"/>
    <w:rsid w:val="004342E0"/>
    <w:rsid w:val="00442D5B"/>
    <w:rsid w:val="00443AAC"/>
    <w:rsid w:val="004448E9"/>
    <w:rsid w:val="00455569"/>
    <w:rsid w:val="00455882"/>
    <w:rsid w:val="00466561"/>
    <w:rsid w:val="0046759A"/>
    <w:rsid w:val="00474C66"/>
    <w:rsid w:val="0047759D"/>
    <w:rsid w:val="00477F28"/>
    <w:rsid w:val="00480965"/>
    <w:rsid w:val="00482557"/>
    <w:rsid w:val="00492259"/>
    <w:rsid w:val="004930C2"/>
    <w:rsid w:val="00496808"/>
    <w:rsid w:val="004A2803"/>
    <w:rsid w:val="004B06A1"/>
    <w:rsid w:val="004B30A0"/>
    <w:rsid w:val="004B404C"/>
    <w:rsid w:val="004B6831"/>
    <w:rsid w:val="004C04E1"/>
    <w:rsid w:val="004C3AAA"/>
    <w:rsid w:val="004C4709"/>
    <w:rsid w:val="004C65A1"/>
    <w:rsid w:val="004D561C"/>
    <w:rsid w:val="004E0CBB"/>
    <w:rsid w:val="004E32DC"/>
    <w:rsid w:val="004F5412"/>
    <w:rsid w:val="004F7602"/>
    <w:rsid w:val="004F7EA9"/>
    <w:rsid w:val="00500277"/>
    <w:rsid w:val="00510A34"/>
    <w:rsid w:val="00511305"/>
    <w:rsid w:val="00512CC0"/>
    <w:rsid w:val="005135D8"/>
    <w:rsid w:val="00514AB0"/>
    <w:rsid w:val="00514E60"/>
    <w:rsid w:val="00517F83"/>
    <w:rsid w:val="00523341"/>
    <w:rsid w:val="005248F0"/>
    <w:rsid w:val="00526782"/>
    <w:rsid w:val="005267FD"/>
    <w:rsid w:val="00527ABA"/>
    <w:rsid w:val="00532FDC"/>
    <w:rsid w:val="00540B55"/>
    <w:rsid w:val="005446D3"/>
    <w:rsid w:val="00545049"/>
    <w:rsid w:val="005523EE"/>
    <w:rsid w:val="005566AB"/>
    <w:rsid w:val="00560E7E"/>
    <w:rsid w:val="005616A9"/>
    <w:rsid w:val="00562630"/>
    <w:rsid w:val="00566187"/>
    <w:rsid w:val="00567608"/>
    <w:rsid w:val="005742E7"/>
    <w:rsid w:val="00574A6C"/>
    <w:rsid w:val="00575FDF"/>
    <w:rsid w:val="00580CC5"/>
    <w:rsid w:val="00581F4D"/>
    <w:rsid w:val="00584992"/>
    <w:rsid w:val="00586C33"/>
    <w:rsid w:val="0059005A"/>
    <w:rsid w:val="0059269E"/>
    <w:rsid w:val="00594337"/>
    <w:rsid w:val="0059771F"/>
    <w:rsid w:val="005979A9"/>
    <w:rsid w:val="005A03FC"/>
    <w:rsid w:val="005C1FAD"/>
    <w:rsid w:val="005C4BFF"/>
    <w:rsid w:val="005D01F7"/>
    <w:rsid w:val="005D5D23"/>
    <w:rsid w:val="005D7C92"/>
    <w:rsid w:val="005E156D"/>
    <w:rsid w:val="005E3D36"/>
    <w:rsid w:val="005E647D"/>
    <w:rsid w:val="005E7D5C"/>
    <w:rsid w:val="005F0D8F"/>
    <w:rsid w:val="00601B4F"/>
    <w:rsid w:val="006041C7"/>
    <w:rsid w:val="0060455E"/>
    <w:rsid w:val="00604F45"/>
    <w:rsid w:val="00610D02"/>
    <w:rsid w:val="00615EEC"/>
    <w:rsid w:val="00622C71"/>
    <w:rsid w:val="00623B6F"/>
    <w:rsid w:val="0063042C"/>
    <w:rsid w:val="00631529"/>
    <w:rsid w:val="00632A33"/>
    <w:rsid w:val="00636A06"/>
    <w:rsid w:val="00637858"/>
    <w:rsid w:val="00640002"/>
    <w:rsid w:val="0064497F"/>
    <w:rsid w:val="00644AFB"/>
    <w:rsid w:val="00660211"/>
    <w:rsid w:val="00662E2B"/>
    <w:rsid w:val="00664E79"/>
    <w:rsid w:val="00664EF0"/>
    <w:rsid w:val="0066578C"/>
    <w:rsid w:val="00670A0B"/>
    <w:rsid w:val="00670C56"/>
    <w:rsid w:val="006724E5"/>
    <w:rsid w:val="00683F04"/>
    <w:rsid w:val="00690B8B"/>
    <w:rsid w:val="00695E8A"/>
    <w:rsid w:val="00697D55"/>
    <w:rsid w:val="006A4B78"/>
    <w:rsid w:val="006A548C"/>
    <w:rsid w:val="006A5B31"/>
    <w:rsid w:val="006A7260"/>
    <w:rsid w:val="006B41EB"/>
    <w:rsid w:val="006B67B7"/>
    <w:rsid w:val="006C0482"/>
    <w:rsid w:val="006C1360"/>
    <w:rsid w:val="006C37E2"/>
    <w:rsid w:val="006D5E66"/>
    <w:rsid w:val="006E198A"/>
    <w:rsid w:val="006E19DD"/>
    <w:rsid w:val="006E1FB0"/>
    <w:rsid w:val="006E4F9A"/>
    <w:rsid w:val="006F42E7"/>
    <w:rsid w:val="00701C19"/>
    <w:rsid w:val="00703E3B"/>
    <w:rsid w:val="0070544B"/>
    <w:rsid w:val="007072BF"/>
    <w:rsid w:val="007076E0"/>
    <w:rsid w:val="00707F90"/>
    <w:rsid w:val="0071198B"/>
    <w:rsid w:val="00715001"/>
    <w:rsid w:val="00723DE9"/>
    <w:rsid w:val="007252E5"/>
    <w:rsid w:val="007409DD"/>
    <w:rsid w:val="007454BA"/>
    <w:rsid w:val="007551F4"/>
    <w:rsid w:val="0076053F"/>
    <w:rsid w:val="0076324B"/>
    <w:rsid w:val="00767585"/>
    <w:rsid w:val="0077176A"/>
    <w:rsid w:val="00772FB5"/>
    <w:rsid w:val="007744C9"/>
    <w:rsid w:val="00775A59"/>
    <w:rsid w:val="00776D60"/>
    <w:rsid w:val="00780B4C"/>
    <w:rsid w:val="00782E0A"/>
    <w:rsid w:val="00786B52"/>
    <w:rsid w:val="00787B18"/>
    <w:rsid w:val="00787CB8"/>
    <w:rsid w:val="007964D5"/>
    <w:rsid w:val="007967EA"/>
    <w:rsid w:val="00796E1A"/>
    <w:rsid w:val="007A3045"/>
    <w:rsid w:val="007B4730"/>
    <w:rsid w:val="007C02D0"/>
    <w:rsid w:val="007C6129"/>
    <w:rsid w:val="007C7BAA"/>
    <w:rsid w:val="007D6359"/>
    <w:rsid w:val="007D70DB"/>
    <w:rsid w:val="007E61F6"/>
    <w:rsid w:val="007F169E"/>
    <w:rsid w:val="007F6A87"/>
    <w:rsid w:val="00801468"/>
    <w:rsid w:val="0080752B"/>
    <w:rsid w:val="00814813"/>
    <w:rsid w:val="00814BC4"/>
    <w:rsid w:val="00821318"/>
    <w:rsid w:val="008226F8"/>
    <w:rsid w:val="0082324F"/>
    <w:rsid w:val="00827254"/>
    <w:rsid w:val="0083438C"/>
    <w:rsid w:val="00836CDA"/>
    <w:rsid w:val="00840D98"/>
    <w:rsid w:val="00844F7A"/>
    <w:rsid w:val="00853090"/>
    <w:rsid w:val="008560A2"/>
    <w:rsid w:val="008611B6"/>
    <w:rsid w:val="0086289D"/>
    <w:rsid w:val="00874D4B"/>
    <w:rsid w:val="008758B4"/>
    <w:rsid w:val="00880890"/>
    <w:rsid w:val="00882410"/>
    <w:rsid w:val="00882B4D"/>
    <w:rsid w:val="00883905"/>
    <w:rsid w:val="0088415F"/>
    <w:rsid w:val="0088688E"/>
    <w:rsid w:val="0089457C"/>
    <w:rsid w:val="00896393"/>
    <w:rsid w:val="00897922"/>
    <w:rsid w:val="008A2656"/>
    <w:rsid w:val="008A32A0"/>
    <w:rsid w:val="008A5B0D"/>
    <w:rsid w:val="008A740F"/>
    <w:rsid w:val="008B5F09"/>
    <w:rsid w:val="008C1A8A"/>
    <w:rsid w:val="008C287C"/>
    <w:rsid w:val="008D0632"/>
    <w:rsid w:val="008D0FB6"/>
    <w:rsid w:val="008E0990"/>
    <w:rsid w:val="008E576C"/>
    <w:rsid w:val="008E5910"/>
    <w:rsid w:val="008E5C97"/>
    <w:rsid w:val="008E6971"/>
    <w:rsid w:val="008F10D0"/>
    <w:rsid w:val="008F32F6"/>
    <w:rsid w:val="008F4A60"/>
    <w:rsid w:val="008F6E27"/>
    <w:rsid w:val="009145CA"/>
    <w:rsid w:val="009146EC"/>
    <w:rsid w:val="00915889"/>
    <w:rsid w:val="00917C3B"/>
    <w:rsid w:val="00917F45"/>
    <w:rsid w:val="009209B3"/>
    <w:rsid w:val="009211D8"/>
    <w:rsid w:val="0092354B"/>
    <w:rsid w:val="009302B0"/>
    <w:rsid w:val="00930913"/>
    <w:rsid w:val="00934FD4"/>
    <w:rsid w:val="0093587F"/>
    <w:rsid w:val="00937E60"/>
    <w:rsid w:val="0094343B"/>
    <w:rsid w:val="009436D5"/>
    <w:rsid w:val="0096160A"/>
    <w:rsid w:val="00965AC5"/>
    <w:rsid w:val="009761D3"/>
    <w:rsid w:val="009774F0"/>
    <w:rsid w:val="009801C4"/>
    <w:rsid w:val="00982C01"/>
    <w:rsid w:val="00986BC5"/>
    <w:rsid w:val="009905BA"/>
    <w:rsid w:val="009930CE"/>
    <w:rsid w:val="00996711"/>
    <w:rsid w:val="009A003D"/>
    <w:rsid w:val="009A7C2D"/>
    <w:rsid w:val="009B0CF7"/>
    <w:rsid w:val="009B285F"/>
    <w:rsid w:val="009B45EA"/>
    <w:rsid w:val="009B51FB"/>
    <w:rsid w:val="009C0E5C"/>
    <w:rsid w:val="009C1ADC"/>
    <w:rsid w:val="009D403F"/>
    <w:rsid w:val="009D52AF"/>
    <w:rsid w:val="009D5879"/>
    <w:rsid w:val="009D6504"/>
    <w:rsid w:val="009D69A9"/>
    <w:rsid w:val="009F3E2E"/>
    <w:rsid w:val="009F65AE"/>
    <w:rsid w:val="00A012BD"/>
    <w:rsid w:val="00A03DF9"/>
    <w:rsid w:val="00A072CF"/>
    <w:rsid w:val="00A100F5"/>
    <w:rsid w:val="00A11DEE"/>
    <w:rsid w:val="00A11E5C"/>
    <w:rsid w:val="00A12201"/>
    <w:rsid w:val="00A15CEA"/>
    <w:rsid w:val="00A26B83"/>
    <w:rsid w:val="00A2747B"/>
    <w:rsid w:val="00A27720"/>
    <w:rsid w:val="00A3120D"/>
    <w:rsid w:val="00A33749"/>
    <w:rsid w:val="00A3479B"/>
    <w:rsid w:val="00A359E8"/>
    <w:rsid w:val="00A37638"/>
    <w:rsid w:val="00A40425"/>
    <w:rsid w:val="00A44105"/>
    <w:rsid w:val="00A45331"/>
    <w:rsid w:val="00A45364"/>
    <w:rsid w:val="00A57852"/>
    <w:rsid w:val="00A632F6"/>
    <w:rsid w:val="00A6399C"/>
    <w:rsid w:val="00A7047B"/>
    <w:rsid w:val="00A71044"/>
    <w:rsid w:val="00A71B1D"/>
    <w:rsid w:val="00A77F55"/>
    <w:rsid w:val="00A8019C"/>
    <w:rsid w:val="00A97F28"/>
    <w:rsid w:val="00AA00C1"/>
    <w:rsid w:val="00AA4FD8"/>
    <w:rsid w:val="00AA7030"/>
    <w:rsid w:val="00AB5271"/>
    <w:rsid w:val="00AC44B0"/>
    <w:rsid w:val="00AD4F2E"/>
    <w:rsid w:val="00AE2912"/>
    <w:rsid w:val="00AE31FA"/>
    <w:rsid w:val="00AF243B"/>
    <w:rsid w:val="00AF3137"/>
    <w:rsid w:val="00AF3939"/>
    <w:rsid w:val="00AF4702"/>
    <w:rsid w:val="00B02D1A"/>
    <w:rsid w:val="00B032A4"/>
    <w:rsid w:val="00B10BDB"/>
    <w:rsid w:val="00B14221"/>
    <w:rsid w:val="00B158DA"/>
    <w:rsid w:val="00B17A4B"/>
    <w:rsid w:val="00B20E41"/>
    <w:rsid w:val="00B2191C"/>
    <w:rsid w:val="00B21D5A"/>
    <w:rsid w:val="00B2425A"/>
    <w:rsid w:val="00B2439B"/>
    <w:rsid w:val="00B25F97"/>
    <w:rsid w:val="00B26FD1"/>
    <w:rsid w:val="00B3000A"/>
    <w:rsid w:val="00B37EF9"/>
    <w:rsid w:val="00B44B53"/>
    <w:rsid w:val="00B51EBE"/>
    <w:rsid w:val="00B569F9"/>
    <w:rsid w:val="00B6234D"/>
    <w:rsid w:val="00B65BC8"/>
    <w:rsid w:val="00B66588"/>
    <w:rsid w:val="00B670E1"/>
    <w:rsid w:val="00B72C16"/>
    <w:rsid w:val="00B73C10"/>
    <w:rsid w:val="00B749EC"/>
    <w:rsid w:val="00B8097E"/>
    <w:rsid w:val="00B855F6"/>
    <w:rsid w:val="00B90A91"/>
    <w:rsid w:val="00B91A3F"/>
    <w:rsid w:val="00B95332"/>
    <w:rsid w:val="00B96A00"/>
    <w:rsid w:val="00BA0F9A"/>
    <w:rsid w:val="00BA28DE"/>
    <w:rsid w:val="00BA36A7"/>
    <w:rsid w:val="00BA6097"/>
    <w:rsid w:val="00BA76D0"/>
    <w:rsid w:val="00BA7927"/>
    <w:rsid w:val="00BB40B2"/>
    <w:rsid w:val="00BB6B5C"/>
    <w:rsid w:val="00BB7888"/>
    <w:rsid w:val="00BC21C8"/>
    <w:rsid w:val="00BC2B4B"/>
    <w:rsid w:val="00BC53D2"/>
    <w:rsid w:val="00BD603D"/>
    <w:rsid w:val="00BD7E7E"/>
    <w:rsid w:val="00BE19CA"/>
    <w:rsid w:val="00BE3E98"/>
    <w:rsid w:val="00BE5B2C"/>
    <w:rsid w:val="00BF4837"/>
    <w:rsid w:val="00C063F0"/>
    <w:rsid w:val="00C0742B"/>
    <w:rsid w:val="00C162D3"/>
    <w:rsid w:val="00C22435"/>
    <w:rsid w:val="00C269C0"/>
    <w:rsid w:val="00C37089"/>
    <w:rsid w:val="00C40145"/>
    <w:rsid w:val="00C408D1"/>
    <w:rsid w:val="00C47796"/>
    <w:rsid w:val="00C50BFC"/>
    <w:rsid w:val="00C5429B"/>
    <w:rsid w:val="00C56242"/>
    <w:rsid w:val="00C62B63"/>
    <w:rsid w:val="00C662CC"/>
    <w:rsid w:val="00C74642"/>
    <w:rsid w:val="00C77D71"/>
    <w:rsid w:val="00C84333"/>
    <w:rsid w:val="00C859C9"/>
    <w:rsid w:val="00C8742D"/>
    <w:rsid w:val="00C9012B"/>
    <w:rsid w:val="00C9049C"/>
    <w:rsid w:val="00C91209"/>
    <w:rsid w:val="00C94A37"/>
    <w:rsid w:val="00C951E3"/>
    <w:rsid w:val="00CA1498"/>
    <w:rsid w:val="00CA19D1"/>
    <w:rsid w:val="00CA3C7C"/>
    <w:rsid w:val="00CA723B"/>
    <w:rsid w:val="00CB13BD"/>
    <w:rsid w:val="00CB4505"/>
    <w:rsid w:val="00CB7B28"/>
    <w:rsid w:val="00CC6D79"/>
    <w:rsid w:val="00CD20D7"/>
    <w:rsid w:val="00CD3410"/>
    <w:rsid w:val="00CE214B"/>
    <w:rsid w:val="00CE27F3"/>
    <w:rsid w:val="00CE6020"/>
    <w:rsid w:val="00CF53D0"/>
    <w:rsid w:val="00CF6788"/>
    <w:rsid w:val="00CF7D31"/>
    <w:rsid w:val="00D023F4"/>
    <w:rsid w:val="00D10C35"/>
    <w:rsid w:val="00D21D1F"/>
    <w:rsid w:val="00D221DB"/>
    <w:rsid w:val="00D25664"/>
    <w:rsid w:val="00D25EB7"/>
    <w:rsid w:val="00D271E7"/>
    <w:rsid w:val="00D32D70"/>
    <w:rsid w:val="00D43C13"/>
    <w:rsid w:val="00D44283"/>
    <w:rsid w:val="00D47772"/>
    <w:rsid w:val="00D47A31"/>
    <w:rsid w:val="00D526ED"/>
    <w:rsid w:val="00D55D3D"/>
    <w:rsid w:val="00D608CB"/>
    <w:rsid w:val="00D60E19"/>
    <w:rsid w:val="00D63C0C"/>
    <w:rsid w:val="00D66BB2"/>
    <w:rsid w:val="00D66F28"/>
    <w:rsid w:val="00D6726E"/>
    <w:rsid w:val="00D73B5B"/>
    <w:rsid w:val="00D73E70"/>
    <w:rsid w:val="00D741EF"/>
    <w:rsid w:val="00D764E2"/>
    <w:rsid w:val="00D84A17"/>
    <w:rsid w:val="00D85F69"/>
    <w:rsid w:val="00D957C9"/>
    <w:rsid w:val="00DA7A61"/>
    <w:rsid w:val="00DB042F"/>
    <w:rsid w:val="00DB60B5"/>
    <w:rsid w:val="00DB68AD"/>
    <w:rsid w:val="00DB7715"/>
    <w:rsid w:val="00DC7347"/>
    <w:rsid w:val="00DD4CF7"/>
    <w:rsid w:val="00DE1F65"/>
    <w:rsid w:val="00DE7D2F"/>
    <w:rsid w:val="00DF0F1C"/>
    <w:rsid w:val="00DF2D45"/>
    <w:rsid w:val="00DF5A72"/>
    <w:rsid w:val="00E0240E"/>
    <w:rsid w:val="00E02E95"/>
    <w:rsid w:val="00E07F2E"/>
    <w:rsid w:val="00E10C66"/>
    <w:rsid w:val="00E112C6"/>
    <w:rsid w:val="00E130F4"/>
    <w:rsid w:val="00E15590"/>
    <w:rsid w:val="00E176B1"/>
    <w:rsid w:val="00E21BD8"/>
    <w:rsid w:val="00E21D75"/>
    <w:rsid w:val="00E22ECC"/>
    <w:rsid w:val="00E261C2"/>
    <w:rsid w:val="00E26C1E"/>
    <w:rsid w:val="00E32F50"/>
    <w:rsid w:val="00E34F74"/>
    <w:rsid w:val="00E3671A"/>
    <w:rsid w:val="00E510F7"/>
    <w:rsid w:val="00E547F0"/>
    <w:rsid w:val="00E6300E"/>
    <w:rsid w:val="00E65209"/>
    <w:rsid w:val="00E66D0F"/>
    <w:rsid w:val="00E706DB"/>
    <w:rsid w:val="00E70B00"/>
    <w:rsid w:val="00E7123C"/>
    <w:rsid w:val="00E71487"/>
    <w:rsid w:val="00E87481"/>
    <w:rsid w:val="00E94558"/>
    <w:rsid w:val="00E9656D"/>
    <w:rsid w:val="00E97064"/>
    <w:rsid w:val="00E97673"/>
    <w:rsid w:val="00EA5334"/>
    <w:rsid w:val="00EB45B5"/>
    <w:rsid w:val="00EB7A8D"/>
    <w:rsid w:val="00EC7201"/>
    <w:rsid w:val="00ED77AF"/>
    <w:rsid w:val="00EE1E85"/>
    <w:rsid w:val="00EE6E8E"/>
    <w:rsid w:val="00EF139C"/>
    <w:rsid w:val="00EF3A59"/>
    <w:rsid w:val="00F054D5"/>
    <w:rsid w:val="00F11163"/>
    <w:rsid w:val="00F12295"/>
    <w:rsid w:val="00F12D4C"/>
    <w:rsid w:val="00F14F1F"/>
    <w:rsid w:val="00F201C4"/>
    <w:rsid w:val="00F219BE"/>
    <w:rsid w:val="00F25E17"/>
    <w:rsid w:val="00F3196A"/>
    <w:rsid w:val="00F364DA"/>
    <w:rsid w:val="00F36699"/>
    <w:rsid w:val="00F36BAA"/>
    <w:rsid w:val="00F42822"/>
    <w:rsid w:val="00F515A7"/>
    <w:rsid w:val="00F520D2"/>
    <w:rsid w:val="00F5592B"/>
    <w:rsid w:val="00F560FE"/>
    <w:rsid w:val="00F569FA"/>
    <w:rsid w:val="00F61465"/>
    <w:rsid w:val="00F64D85"/>
    <w:rsid w:val="00F653F0"/>
    <w:rsid w:val="00F770EF"/>
    <w:rsid w:val="00F80A4D"/>
    <w:rsid w:val="00F80DD9"/>
    <w:rsid w:val="00F82C5C"/>
    <w:rsid w:val="00F83DC1"/>
    <w:rsid w:val="00F90843"/>
    <w:rsid w:val="00F90ABB"/>
    <w:rsid w:val="00F934FF"/>
    <w:rsid w:val="00F94916"/>
    <w:rsid w:val="00F97B7F"/>
    <w:rsid w:val="00FA7AC9"/>
    <w:rsid w:val="00FA7AD9"/>
    <w:rsid w:val="00FB2B11"/>
    <w:rsid w:val="00FB2ECB"/>
    <w:rsid w:val="00FC39D2"/>
    <w:rsid w:val="00FC5FA4"/>
    <w:rsid w:val="00FC6204"/>
    <w:rsid w:val="00FC6B8A"/>
    <w:rsid w:val="00FD0048"/>
    <w:rsid w:val="00FD2931"/>
    <w:rsid w:val="00FD586D"/>
    <w:rsid w:val="00FE10AD"/>
    <w:rsid w:val="00FE1672"/>
    <w:rsid w:val="00FE2AF5"/>
    <w:rsid w:val="00FE72B6"/>
    <w:rsid w:val="00FE7F2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2E4D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0A0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921604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s://www.ncbi.nlm.nih.gov/pubmed/22297116" TargetMode="External"/><Relationship Id="rId12" Type="http://schemas.openxmlformats.org/officeDocument/2006/relationships/hyperlink" Target="https://www.ncbi.nlm.nih.gov/pubmed/30982686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conted.ox.ac.uk/about/msc-in-ebhc-systematic-revi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SLk0HF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2ueyQem" TargetMode="External"/><Relationship Id="rId24" Type="http://schemas.openxmlformats.org/officeDocument/2006/relationships/hyperlink" Target="https://www.conted.ox.ac.uk/about/msc-in-ebhc-medical-statist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conted.ox.ac.uk/about/msc-in-evidence-based-health-care" TargetMode="External"/><Relationship Id="rId10" Type="http://schemas.openxmlformats.org/officeDocument/2006/relationships/hyperlink" Target="https://www.ncbi.nlm.nih.gov/pubmed/17555582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2407676" TargetMode="External"/><Relationship Id="rId14" Type="http://schemas.openxmlformats.org/officeDocument/2006/relationships/hyperlink" Target="https://bit.ly/2SLk0HF" TargetMode="External"/><Relationship Id="rId22" Type="http://schemas.openxmlformats.org/officeDocument/2006/relationships/hyperlink" Target="https://www.conted.ox.ac.uk/courses/meta-analysis%3c/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834EB62-3D29-4ECA-A775-0B8BB60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Alice Crouch</cp:lastModifiedBy>
  <cp:revision>3</cp:revision>
  <cp:lastPrinted>2019-08-26T16:16:00Z</cp:lastPrinted>
  <dcterms:created xsi:type="dcterms:W3CDTF">2019-08-26T23:20:00Z</dcterms:created>
  <dcterms:modified xsi:type="dcterms:W3CDTF">2019-10-02T09:47:00Z</dcterms:modified>
</cp:coreProperties>
</file>