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38" w:rsidRDefault="00786B52" w:rsidP="00164538">
      <w:pPr>
        <w:rPr>
          <w:b/>
        </w:rPr>
      </w:pPr>
      <w:r>
        <w:rPr>
          <w:b/>
        </w:rPr>
        <w:t xml:space="preserve">Tip </w:t>
      </w:r>
      <w:r w:rsidR="007C6129">
        <w:rPr>
          <w:b/>
        </w:rPr>
        <w:t>for</w:t>
      </w:r>
      <w:r>
        <w:rPr>
          <w:b/>
        </w:rPr>
        <w:t xml:space="preserve"> d</w:t>
      </w:r>
      <w:r w:rsidR="00164538">
        <w:rPr>
          <w:b/>
        </w:rPr>
        <w:t xml:space="preserve">ata extraction </w:t>
      </w:r>
      <w:r w:rsidR="00165841">
        <w:rPr>
          <w:b/>
        </w:rPr>
        <w:t>for</w:t>
      </w:r>
      <w:r w:rsidR="00164538">
        <w:rPr>
          <w:b/>
        </w:rPr>
        <w:t xml:space="preserve"> meta-analysis </w:t>
      </w:r>
      <w:r>
        <w:rPr>
          <w:b/>
        </w:rPr>
        <w:t>-</w:t>
      </w:r>
      <w:r w:rsidR="00164538">
        <w:rPr>
          <w:b/>
        </w:rPr>
        <w:t xml:space="preserve"> </w:t>
      </w:r>
      <w:r w:rsidR="00853090">
        <w:rPr>
          <w:b/>
        </w:rPr>
        <w:t>7</w:t>
      </w:r>
    </w:p>
    <w:p w:rsidR="00567608" w:rsidRDefault="00567608" w:rsidP="00567608">
      <w:pPr>
        <w:jc w:val="center"/>
      </w:pPr>
      <w:r>
        <w:rPr>
          <w:noProof/>
          <w:lang w:eastAsia="zh-CN"/>
        </w:rPr>
        <w:drawing>
          <wp:inline distT="0" distB="0" distL="0" distR="0" wp14:anchorId="336936E2" wp14:editId="666B43CE">
            <wp:extent cx="3483893" cy="17221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877" cy="17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D36" w:rsidRPr="005E3D36" w:rsidRDefault="00C251D6" w:rsidP="005E3D36">
      <w:pPr>
        <w:rPr>
          <w:i/>
        </w:rPr>
      </w:pPr>
      <w:r>
        <w:rPr>
          <w:i/>
        </w:rPr>
        <w:t>How c</w:t>
      </w:r>
      <w:r w:rsidR="006D07A7">
        <w:rPr>
          <w:i/>
        </w:rPr>
        <w:t xml:space="preserve">an </w:t>
      </w:r>
      <w:r w:rsidR="00853090">
        <w:rPr>
          <w:i/>
        </w:rPr>
        <w:t>categorical risk data</w:t>
      </w:r>
      <w:r w:rsidR="006D07A7">
        <w:rPr>
          <w:i/>
        </w:rPr>
        <w:t xml:space="preserve"> be pooled</w:t>
      </w:r>
      <w:r w:rsidR="005E3D36" w:rsidRPr="005E3D36">
        <w:rPr>
          <w:i/>
        </w:rPr>
        <w:t xml:space="preserve">?  </w:t>
      </w:r>
    </w:p>
    <w:p w:rsidR="001C4A6A" w:rsidRDefault="001C4A6A" w:rsidP="005E3D36"/>
    <w:p w:rsidR="005E3D36" w:rsidRPr="005E3D36" w:rsidRDefault="005E3D36" w:rsidP="005E3D36">
      <w:r w:rsidRPr="005E3D36">
        <w:t>Kathy Taylor</w:t>
      </w:r>
    </w:p>
    <w:p w:rsidR="005E3D36" w:rsidRDefault="005E3D36" w:rsidP="005E3D36"/>
    <w:p w:rsidR="00853090" w:rsidRDefault="00853090" w:rsidP="00853090">
      <w:pPr>
        <w:rPr>
          <w:lang w:eastAsia="zh-CN"/>
        </w:rPr>
      </w:pPr>
      <w:r w:rsidRPr="004B1665">
        <w:rPr>
          <w:lang w:eastAsia="zh-CN"/>
        </w:rPr>
        <w:t>A common problem in meta-analysis of observational studies arises when data are reported for categories of the exposure variable, instead of for a continuous variable. </w:t>
      </w:r>
      <w:r w:rsidR="00DA7A61">
        <w:rPr>
          <w:lang w:eastAsia="zh-CN"/>
        </w:rPr>
        <w:t>S</w:t>
      </w:r>
      <w:r w:rsidR="00787CB8">
        <w:rPr>
          <w:lang w:eastAsia="zh-CN"/>
        </w:rPr>
        <w:t>tudies may divide the exposure variable into different numbers of categories, or the same number of categories</w:t>
      </w:r>
      <w:r w:rsidR="005C1FAD">
        <w:rPr>
          <w:lang w:eastAsia="zh-CN"/>
        </w:rPr>
        <w:t>,</w:t>
      </w:r>
      <w:r w:rsidR="00787CB8">
        <w:rPr>
          <w:lang w:eastAsia="zh-CN"/>
        </w:rPr>
        <w:t xml:space="preserve"> but using different thresholds, </w:t>
      </w:r>
      <w:r w:rsidRPr="004B1665">
        <w:rPr>
          <w:lang w:eastAsia="zh-CN"/>
        </w:rPr>
        <w:t>making it hard to combine them in a meta-analysis.</w:t>
      </w:r>
      <w:r w:rsidR="00996711">
        <w:rPr>
          <w:lang w:eastAsia="zh-CN"/>
        </w:rPr>
        <w:t xml:space="preserve"> </w:t>
      </w:r>
    </w:p>
    <w:p w:rsidR="00853090" w:rsidRDefault="00853090" w:rsidP="005E3D36"/>
    <w:p w:rsidR="00901067" w:rsidRDefault="00996711" w:rsidP="00DD4D85">
      <w:pPr>
        <w:autoSpaceDE w:val="0"/>
        <w:autoSpaceDN w:val="0"/>
        <w:adjustRightInd w:val="0"/>
        <w:spacing w:line="240" w:lineRule="auto"/>
        <w:jc w:val="left"/>
        <w:rPr>
          <w:lang w:eastAsia="zh-CN"/>
        </w:rPr>
      </w:pPr>
      <w:r w:rsidRPr="004B1665">
        <w:rPr>
          <w:lang w:eastAsia="zh-CN"/>
        </w:rPr>
        <w:t xml:space="preserve">One way to tackle this </w:t>
      </w:r>
      <w:r w:rsidR="002F1FBB">
        <w:rPr>
          <w:lang w:eastAsia="zh-CN"/>
        </w:rPr>
        <w:t>is to estimate the trend</w:t>
      </w:r>
      <w:r w:rsidR="00C86877">
        <w:rPr>
          <w:lang w:eastAsia="zh-CN"/>
        </w:rPr>
        <w:t>,</w:t>
      </w:r>
      <w:r w:rsidR="002F1FBB">
        <w:rPr>
          <w:lang w:eastAsia="zh-CN"/>
        </w:rPr>
        <w:t xml:space="preserve"> across the hazard</w:t>
      </w:r>
      <w:r w:rsidR="002F1FBB" w:rsidRPr="004B1665">
        <w:rPr>
          <w:lang w:eastAsia="zh-CN"/>
        </w:rPr>
        <w:t xml:space="preserve"> ratio</w:t>
      </w:r>
      <w:r w:rsidR="000F327C">
        <w:rPr>
          <w:lang w:eastAsia="zh-CN"/>
        </w:rPr>
        <w:t>s</w:t>
      </w:r>
      <w:r w:rsidR="002F1FBB" w:rsidRPr="004B1665">
        <w:rPr>
          <w:lang w:eastAsia="zh-CN"/>
        </w:rPr>
        <w:t xml:space="preserve"> (odds ratio</w:t>
      </w:r>
      <w:r w:rsidR="000F327C">
        <w:rPr>
          <w:lang w:eastAsia="zh-CN"/>
        </w:rPr>
        <w:t>s</w:t>
      </w:r>
      <w:r w:rsidR="002F1FBB" w:rsidRPr="004B1665">
        <w:rPr>
          <w:lang w:eastAsia="zh-CN"/>
        </w:rPr>
        <w:t xml:space="preserve"> or </w:t>
      </w:r>
      <w:r w:rsidR="002F1FBB">
        <w:rPr>
          <w:lang w:eastAsia="zh-CN"/>
        </w:rPr>
        <w:t>relative risk</w:t>
      </w:r>
      <w:r w:rsidR="000F327C">
        <w:rPr>
          <w:lang w:eastAsia="zh-CN"/>
        </w:rPr>
        <w:t>s</w:t>
      </w:r>
      <w:r w:rsidR="002F1FBB">
        <w:rPr>
          <w:lang w:eastAsia="zh-CN"/>
        </w:rPr>
        <w:t>)</w:t>
      </w:r>
      <w:r w:rsidR="000F327C">
        <w:rPr>
          <w:lang w:eastAsia="zh-CN"/>
        </w:rPr>
        <w:t xml:space="preserve"> for the categories</w:t>
      </w:r>
      <w:r w:rsidR="00C86877">
        <w:rPr>
          <w:lang w:eastAsia="zh-CN"/>
        </w:rPr>
        <w:t>,</w:t>
      </w:r>
      <w:r w:rsidR="000F327C">
        <w:rPr>
          <w:lang w:eastAsia="zh-CN"/>
        </w:rPr>
        <w:t xml:space="preserve"> </w:t>
      </w:r>
      <w:r w:rsidR="00C86877">
        <w:rPr>
          <w:lang w:eastAsia="zh-CN"/>
        </w:rPr>
        <w:t>to</w:t>
      </w:r>
      <w:r w:rsidR="003E5601">
        <w:rPr>
          <w:lang w:eastAsia="zh-CN"/>
        </w:rPr>
        <w:t xml:space="preserve"> produce</w:t>
      </w:r>
      <w:r w:rsidR="000F327C">
        <w:rPr>
          <w:lang w:eastAsia="zh-CN"/>
        </w:rPr>
        <w:t xml:space="preserve"> a hazard</w:t>
      </w:r>
      <w:r w:rsidR="000F327C" w:rsidRPr="004B1665">
        <w:rPr>
          <w:lang w:eastAsia="zh-CN"/>
        </w:rPr>
        <w:t xml:space="preserve"> ratio (odds ratio or </w:t>
      </w:r>
      <w:r w:rsidR="000F327C">
        <w:rPr>
          <w:lang w:eastAsia="zh-CN"/>
        </w:rPr>
        <w:t xml:space="preserve">relative risk) </w:t>
      </w:r>
      <w:r w:rsidR="002F1FBB">
        <w:rPr>
          <w:lang w:eastAsia="zh-CN"/>
        </w:rPr>
        <w:t>for a unit change in the exposure variable</w:t>
      </w:r>
      <w:r w:rsidR="0000797F">
        <w:rPr>
          <w:lang w:eastAsia="zh-CN"/>
        </w:rPr>
        <w:t xml:space="preserve">. </w:t>
      </w:r>
      <w:hyperlink r:id="rId7" w:history="1">
        <w:r w:rsidRPr="00996711">
          <w:rPr>
            <w:rStyle w:val="Hyperlink"/>
            <w:lang w:eastAsia="zh-CN"/>
          </w:rPr>
          <w:t xml:space="preserve">Greenland and </w:t>
        </w:r>
        <w:proofErr w:type="spellStart"/>
        <w:r w:rsidRPr="00996711">
          <w:rPr>
            <w:rStyle w:val="Hyperlink"/>
            <w:lang w:eastAsia="zh-CN"/>
          </w:rPr>
          <w:t>Longnecker</w:t>
        </w:r>
        <w:proofErr w:type="spellEnd"/>
      </w:hyperlink>
      <w:r w:rsidRPr="00EC2B09">
        <w:rPr>
          <w:lang w:eastAsia="zh-CN"/>
        </w:rPr>
        <w:t xml:space="preserve"> </w:t>
      </w:r>
      <w:r>
        <w:rPr>
          <w:lang w:eastAsia="zh-CN"/>
        </w:rPr>
        <w:t xml:space="preserve">describe a </w:t>
      </w:r>
      <w:r w:rsidR="003E5601">
        <w:rPr>
          <w:lang w:eastAsia="zh-CN"/>
        </w:rPr>
        <w:t xml:space="preserve">trend estimation </w:t>
      </w:r>
      <w:r w:rsidR="0000797F">
        <w:rPr>
          <w:lang w:eastAsia="zh-CN"/>
        </w:rPr>
        <w:t>m</w:t>
      </w:r>
      <w:r>
        <w:rPr>
          <w:lang w:eastAsia="zh-CN"/>
        </w:rPr>
        <w:t>ethod</w:t>
      </w:r>
      <w:r w:rsidR="00AC163B">
        <w:rPr>
          <w:lang w:eastAsia="zh-CN"/>
        </w:rPr>
        <w:t>,</w:t>
      </w:r>
      <w:r>
        <w:rPr>
          <w:lang w:eastAsia="zh-CN"/>
        </w:rPr>
        <w:t xml:space="preserve"> </w:t>
      </w:r>
      <w:r w:rsidR="003B3993">
        <w:rPr>
          <w:lang w:eastAsia="zh-CN"/>
        </w:rPr>
        <w:t xml:space="preserve">which </w:t>
      </w:r>
      <w:hyperlink r:id="rId8" w:history="1">
        <w:proofErr w:type="spellStart"/>
        <w:r w:rsidRPr="00DD4D85">
          <w:rPr>
            <w:rStyle w:val="Hyperlink"/>
            <w:szCs w:val="24"/>
            <w:lang w:eastAsia="zh-CN"/>
          </w:rPr>
          <w:t>Orsini</w:t>
        </w:r>
        <w:proofErr w:type="spellEnd"/>
        <w:r w:rsidRPr="00DD4D85">
          <w:rPr>
            <w:rStyle w:val="Hyperlink"/>
            <w:szCs w:val="24"/>
            <w:lang w:eastAsia="zh-CN"/>
          </w:rPr>
          <w:t xml:space="preserve"> et al</w:t>
        </w:r>
      </w:hyperlink>
      <w:r w:rsidRPr="00DD4D85">
        <w:rPr>
          <w:szCs w:val="24"/>
          <w:lang w:eastAsia="zh-CN"/>
        </w:rPr>
        <w:t xml:space="preserve"> </w:t>
      </w:r>
      <w:r w:rsidR="00941F0F" w:rsidRPr="00DD4D85">
        <w:rPr>
          <w:szCs w:val="24"/>
          <w:lang w:eastAsia="zh-CN"/>
        </w:rPr>
        <w:t xml:space="preserve">have </w:t>
      </w:r>
      <w:r w:rsidRPr="00DD4D85">
        <w:rPr>
          <w:szCs w:val="24"/>
          <w:lang w:eastAsia="zh-CN"/>
        </w:rPr>
        <w:t>implemen</w:t>
      </w:r>
      <w:r w:rsidR="00C86877" w:rsidRPr="00DD4D85">
        <w:rPr>
          <w:szCs w:val="24"/>
          <w:lang w:eastAsia="zh-CN"/>
        </w:rPr>
        <w:t>ted</w:t>
      </w:r>
      <w:r w:rsidRPr="00DD4D85">
        <w:rPr>
          <w:szCs w:val="24"/>
          <w:lang w:eastAsia="zh-CN"/>
        </w:rPr>
        <w:t xml:space="preserve"> </w:t>
      </w:r>
      <w:r w:rsidR="003B3993" w:rsidRPr="00DD4D85">
        <w:rPr>
          <w:szCs w:val="24"/>
          <w:lang w:eastAsia="zh-CN"/>
        </w:rPr>
        <w:t>i</w:t>
      </w:r>
      <w:r w:rsidRPr="00DD4D85">
        <w:rPr>
          <w:szCs w:val="24"/>
          <w:lang w:eastAsia="zh-CN"/>
        </w:rPr>
        <w:t>n STATA</w:t>
      </w:r>
      <w:r w:rsidR="006979C6">
        <w:rPr>
          <w:szCs w:val="24"/>
          <w:lang w:eastAsia="zh-CN"/>
        </w:rPr>
        <w:t xml:space="preserve"> with the </w:t>
      </w:r>
      <w:proofErr w:type="spellStart"/>
      <w:r w:rsidR="006979C6">
        <w:rPr>
          <w:szCs w:val="24"/>
          <w:lang w:eastAsia="zh-CN"/>
        </w:rPr>
        <w:t>glst</w:t>
      </w:r>
      <w:proofErr w:type="spellEnd"/>
      <w:r w:rsidR="006979C6">
        <w:rPr>
          <w:szCs w:val="24"/>
          <w:lang w:eastAsia="zh-CN"/>
        </w:rPr>
        <w:t xml:space="preserve"> command</w:t>
      </w:r>
      <w:r w:rsidR="00DD4D85" w:rsidRPr="00DD4D85">
        <w:rPr>
          <w:szCs w:val="24"/>
          <w:lang w:eastAsia="zh-CN"/>
        </w:rPr>
        <w:t>,</w:t>
      </w:r>
      <w:r w:rsidR="00174147" w:rsidRPr="00DD4D85">
        <w:rPr>
          <w:szCs w:val="24"/>
          <w:lang w:eastAsia="zh-CN"/>
        </w:rPr>
        <w:t xml:space="preserve"> </w:t>
      </w:r>
      <w:hyperlink r:id="rId9" w:history="1">
        <w:r w:rsidR="00DD4D85" w:rsidRPr="00DD4D85">
          <w:rPr>
            <w:rStyle w:val="Hyperlink"/>
            <w:rFonts w:cs="CMR10"/>
            <w:szCs w:val="24"/>
          </w:rPr>
          <w:t xml:space="preserve">Li </w:t>
        </w:r>
        <w:r w:rsidR="00DD4D85" w:rsidRPr="00DD4D85">
          <w:rPr>
            <w:rStyle w:val="Hyperlink"/>
            <w:rFonts w:cs="CMR10"/>
            <w:szCs w:val="24"/>
          </w:rPr>
          <w:t>a</w:t>
        </w:r>
        <w:r w:rsidR="00DD4D85" w:rsidRPr="00DD4D85">
          <w:rPr>
            <w:rStyle w:val="Hyperlink"/>
            <w:rFonts w:cs="CMR10"/>
            <w:szCs w:val="24"/>
          </w:rPr>
          <w:t>nd Spiegelman</w:t>
        </w:r>
      </w:hyperlink>
      <w:r w:rsidR="00DD4D85" w:rsidRPr="00DD4D85">
        <w:rPr>
          <w:rFonts w:cs="CMR10"/>
          <w:color w:val="000000" w:themeColor="text1"/>
          <w:szCs w:val="24"/>
        </w:rPr>
        <w:t xml:space="preserve"> have implemented in SAS</w:t>
      </w:r>
      <w:r w:rsidR="006979C6">
        <w:rPr>
          <w:rFonts w:cs="CMR10"/>
          <w:color w:val="000000" w:themeColor="text1"/>
          <w:szCs w:val="24"/>
        </w:rPr>
        <w:t xml:space="preserve"> with the </w:t>
      </w:r>
      <w:proofErr w:type="spellStart"/>
      <w:r w:rsidR="006979C6">
        <w:rPr>
          <w:rFonts w:cs="CMR10"/>
          <w:color w:val="000000" w:themeColor="text1"/>
          <w:szCs w:val="24"/>
        </w:rPr>
        <w:t>metadose</w:t>
      </w:r>
      <w:proofErr w:type="spellEnd"/>
      <w:r w:rsidR="006979C6">
        <w:rPr>
          <w:rFonts w:cs="CMR10"/>
          <w:color w:val="000000" w:themeColor="text1"/>
          <w:szCs w:val="24"/>
        </w:rPr>
        <w:t xml:space="preserve"> macro</w:t>
      </w:r>
      <w:r w:rsidR="00DD4D85">
        <w:rPr>
          <w:rFonts w:cs="CMR10"/>
          <w:color w:val="000000" w:themeColor="text1"/>
          <w:szCs w:val="24"/>
        </w:rPr>
        <w:t>,</w:t>
      </w:r>
      <w:r w:rsidR="00DD4D85" w:rsidRPr="00DD4D85">
        <w:rPr>
          <w:rFonts w:ascii="CMR10" w:hAnsi="CMR10" w:cs="CMR10"/>
          <w:color w:val="000000" w:themeColor="text1"/>
          <w:szCs w:val="24"/>
        </w:rPr>
        <w:t xml:space="preserve"> </w:t>
      </w:r>
      <w:r w:rsidR="00174147" w:rsidRPr="00DD4D85">
        <w:rPr>
          <w:szCs w:val="24"/>
          <w:lang w:eastAsia="zh-CN"/>
        </w:rPr>
        <w:t>and</w:t>
      </w:r>
      <w:r w:rsidR="0023220F" w:rsidRPr="00DD4D85">
        <w:rPr>
          <w:szCs w:val="24"/>
          <w:lang w:eastAsia="zh-CN"/>
        </w:rPr>
        <w:t xml:space="preserve"> </w:t>
      </w:r>
      <w:hyperlink r:id="rId10" w:history="1">
        <w:proofErr w:type="spellStart"/>
        <w:r w:rsidR="0023220F" w:rsidRPr="00DD4D85">
          <w:rPr>
            <w:rStyle w:val="Hyperlink"/>
            <w:szCs w:val="24"/>
            <w:lang w:eastAsia="zh-CN"/>
          </w:rPr>
          <w:t>Crippa</w:t>
        </w:r>
        <w:proofErr w:type="spellEnd"/>
        <w:r w:rsidR="0023220F" w:rsidRPr="00DD4D85">
          <w:rPr>
            <w:rStyle w:val="Hyperlink"/>
            <w:szCs w:val="24"/>
            <w:lang w:eastAsia="zh-CN"/>
          </w:rPr>
          <w:t xml:space="preserve"> and </w:t>
        </w:r>
        <w:proofErr w:type="spellStart"/>
        <w:r w:rsidR="0023220F" w:rsidRPr="00DD4D85">
          <w:rPr>
            <w:rStyle w:val="Hyperlink"/>
            <w:szCs w:val="24"/>
            <w:lang w:eastAsia="zh-CN"/>
          </w:rPr>
          <w:t>O</w:t>
        </w:r>
        <w:r w:rsidR="0023220F" w:rsidRPr="00DD4D85">
          <w:rPr>
            <w:rStyle w:val="Hyperlink"/>
            <w:szCs w:val="24"/>
            <w:lang w:eastAsia="zh-CN"/>
          </w:rPr>
          <w:t>rsini</w:t>
        </w:r>
        <w:proofErr w:type="spellEnd"/>
      </w:hyperlink>
      <w:r w:rsidR="0023220F">
        <w:rPr>
          <w:lang w:eastAsia="zh-CN"/>
        </w:rPr>
        <w:t xml:space="preserve"> have</w:t>
      </w:r>
      <w:bookmarkStart w:id="0" w:name="_GoBack"/>
      <w:bookmarkEnd w:id="0"/>
      <w:r w:rsidR="0023220F">
        <w:rPr>
          <w:lang w:eastAsia="zh-CN"/>
        </w:rPr>
        <w:t xml:space="preserve"> </w:t>
      </w:r>
      <w:r w:rsidR="003B3993">
        <w:rPr>
          <w:lang w:eastAsia="zh-CN"/>
        </w:rPr>
        <w:t>implemented in R</w:t>
      </w:r>
      <w:r w:rsidR="006979C6">
        <w:rPr>
          <w:lang w:eastAsia="zh-CN"/>
        </w:rPr>
        <w:t xml:space="preserve"> with the </w:t>
      </w:r>
      <w:proofErr w:type="spellStart"/>
      <w:r w:rsidR="006979C6">
        <w:rPr>
          <w:lang w:eastAsia="zh-CN"/>
        </w:rPr>
        <w:t>dosresmeta</w:t>
      </w:r>
      <w:proofErr w:type="spellEnd"/>
      <w:r w:rsidR="006979C6">
        <w:rPr>
          <w:lang w:eastAsia="zh-CN"/>
        </w:rPr>
        <w:t xml:space="preserve"> command</w:t>
      </w:r>
      <w:r w:rsidR="00174147">
        <w:rPr>
          <w:lang w:eastAsia="zh-CN"/>
        </w:rPr>
        <w:t>.</w:t>
      </w:r>
      <w:r>
        <w:rPr>
          <w:lang w:eastAsia="zh-CN"/>
        </w:rPr>
        <w:t xml:space="preserve"> </w:t>
      </w:r>
      <w:r w:rsidR="00901067">
        <w:rPr>
          <w:lang w:eastAsia="zh-CN"/>
        </w:rPr>
        <w:t xml:space="preserve">These packages provide estimates </w:t>
      </w:r>
      <w:r w:rsidR="00266C6A">
        <w:rPr>
          <w:lang w:eastAsia="zh-CN"/>
        </w:rPr>
        <w:t xml:space="preserve">for single and multiple studies and the source publications are very useful as they </w:t>
      </w:r>
      <w:r w:rsidR="00DD4D85">
        <w:rPr>
          <w:lang w:eastAsia="zh-CN"/>
        </w:rPr>
        <w:t>have published</w:t>
      </w:r>
      <w:r w:rsidR="00266C6A">
        <w:rPr>
          <w:lang w:eastAsia="zh-CN"/>
        </w:rPr>
        <w:t xml:space="preserve"> examples with the code.</w:t>
      </w:r>
    </w:p>
    <w:p w:rsidR="00901067" w:rsidRDefault="00901067" w:rsidP="0092026F">
      <w:pPr>
        <w:rPr>
          <w:lang w:eastAsia="zh-CN"/>
        </w:rPr>
      </w:pPr>
      <w:r>
        <w:rPr>
          <w:lang w:eastAsia="zh-CN"/>
        </w:rPr>
        <w:t xml:space="preserve"> </w:t>
      </w:r>
    </w:p>
    <w:p w:rsidR="001F0BA6" w:rsidRDefault="001F0BA6" w:rsidP="0092026F">
      <w:pPr>
        <w:rPr>
          <w:lang w:eastAsia="zh-CN"/>
        </w:rPr>
      </w:pPr>
      <w:r>
        <w:rPr>
          <w:lang w:eastAsia="zh-CN"/>
        </w:rPr>
        <w:t xml:space="preserve">I will </w:t>
      </w:r>
      <w:r w:rsidR="00D66B27">
        <w:rPr>
          <w:lang w:eastAsia="zh-CN"/>
        </w:rPr>
        <w:t xml:space="preserve">describe the basic process of applying the method to a single study using STATA and R. I will </w:t>
      </w:r>
      <w:r>
        <w:rPr>
          <w:lang w:eastAsia="zh-CN"/>
        </w:rPr>
        <w:t>refer to categorical risk data, but note that these data may also be called quantile data or dose-response data.</w:t>
      </w:r>
      <w:r w:rsidR="00D66B27">
        <w:rPr>
          <w:lang w:eastAsia="zh-CN"/>
        </w:rPr>
        <w:t xml:space="preserve"> </w:t>
      </w:r>
    </w:p>
    <w:p w:rsidR="00853090" w:rsidRDefault="00853090" w:rsidP="005E3D36"/>
    <w:p w:rsidR="003E5601" w:rsidRDefault="003E5601" w:rsidP="005E3D36">
      <w:r>
        <w:t xml:space="preserve">The </w:t>
      </w:r>
      <w:r w:rsidR="00941F0F">
        <w:t xml:space="preserve">basic </w:t>
      </w:r>
      <w:r>
        <w:t>process involves 5 steps (see below for definitions of technical terms):</w:t>
      </w:r>
    </w:p>
    <w:p w:rsidR="003E5601" w:rsidRDefault="003E5601" w:rsidP="005E3D36">
      <w:r>
        <w:t xml:space="preserve"> </w:t>
      </w:r>
    </w:p>
    <w:p w:rsidR="003E5601" w:rsidRPr="00A3479B" w:rsidRDefault="003E5601" w:rsidP="003E5601">
      <w:pPr>
        <w:pStyle w:val="ListParagraph"/>
        <w:numPr>
          <w:ilvl w:val="0"/>
          <w:numId w:val="8"/>
        </w:numPr>
        <w:rPr>
          <w:b/>
        </w:rPr>
      </w:pPr>
      <w:r w:rsidRPr="00A3479B">
        <w:rPr>
          <w:b/>
          <w:i/>
        </w:rPr>
        <w:t>E</w:t>
      </w:r>
      <w:r w:rsidR="00996711" w:rsidRPr="00A3479B">
        <w:rPr>
          <w:b/>
          <w:i/>
        </w:rPr>
        <w:t>stablish the type of data</w:t>
      </w:r>
      <w:r w:rsidR="00996711" w:rsidRPr="00A3479B">
        <w:rPr>
          <w:b/>
        </w:rPr>
        <w:t xml:space="preserve">. </w:t>
      </w:r>
    </w:p>
    <w:p w:rsidR="00C86877" w:rsidRDefault="00492672" w:rsidP="003E5601">
      <w:r>
        <w:t>Categorical risk data will typically be given in a table</w:t>
      </w:r>
      <w:r w:rsidR="00A65768">
        <w:t>,</w:t>
      </w:r>
      <w:r w:rsidR="00307CC5">
        <w:t xml:space="preserve"> </w:t>
      </w:r>
      <w:r w:rsidR="0023134F" w:rsidRPr="00AE6F29">
        <w:t>for</w:t>
      </w:r>
      <w:r w:rsidR="0023134F">
        <w:t xml:space="preserve"> each category </w:t>
      </w:r>
      <w:r w:rsidR="00307CC5">
        <w:t>reporting</w:t>
      </w:r>
      <w:r w:rsidR="00A65768">
        <w:t xml:space="preserve"> the</w:t>
      </w:r>
      <w:r w:rsidR="00A65768" w:rsidRPr="00A65768">
        <w:rPr>
          <w:lang w:eastAsia="zh-CN"/>
        </w:rPr>
        <w:t xml:space="preserve"> </w:t>
      </w:r>
      <w:r w:rsidR="00A65768">
        <w:rPr>
          <w:lang w:eastAsia="zh-CN"/>
        </w:rPr>
        <w:t>hazard</w:t>
      </w:r>
      <w:r w:rsidR="00A65768" w:rsidRPr="004B1665">
        <w:rPr>
          <w:lang w:eastAsia="zh-CN"/>
        </w:rPr>
        <w:t xml:space="preserve"> ratio</w:t>
      </w:r>
      <w:r w:rsidR="00A65768">
        <w:rPr>
          <w:lang w:eastAsia="zh-CN"/>
        </w:rPr>
        <w:t>s</w:t>
      </w:r>
      <w:r w:rsidR="00A65768" w:rsidRPr="004B1665">
        <w:rPr>
          <w:lang w:eastAsia="zh-CN"/>
        </w:rPr>
        <w:t xml:space="preserve"> (odds ratio</w:t>
      </w:r>
      <w:r w:rsidR="00A65768">
        <w:rPr>
          <w:lang w:eastAsia="zh-CN"/>
        </w:rPr>
        <w:t>s</w:t>
      </w:r>
      <w:r w:rsidR="00A65768" w:rsidRPr="004B1665">
        <w:rPr>
          <w:lang w:eastAsia="zh-CN"/>
        </w:rPr>
        <w:t xml:space="preserve"> or </w:t>
      </w:r>
      <w:r w:rsidR="00A65768">
        <w:rPr>
          <w:lang w:eastAsia="zh-CN"/>
        </w:rPr>
        <w:t>relative risks) and other data which may be</w:t>
      </w:r>
      <w:r w:rsidR="0023134F">
        <w:rPr>
          <w:lang w:eastAsia="zh-CN"/>
        </w:rPr>
        <w:t xml:space="preserve"> either</w:t>
      </w:r>
      <w:r w:rsidR="00A65768">
        <w:rPr>
          <w:lang w:eastAsia="zh-CN"/>
        </w:rPr>
        <w:t>:</w:t>
      </w:r>
    </w:p>
    <w:p w:rsidR="00C86877" w:rsidRPr="0023134F" w:rsidRDefault="0023134F" w:rsidP="00557938">
      <w:pPr>
        <w:pStyle w:val="ListParagraph"/>
        <w:numPr>
          <w:ilvl w:val="0"/>
          <w:numId w:val="10"/>
        </w:numPr>
        <w:spacing w:after="160" w:line="259" w:lineRule="auto"/>
        <w:jc w:val="left"/>
      </w:pPr>
      <w:r w:rsidRPr="004D4E2C">
        <w:rPr>
          <w:i/>
        </w:rPr>
        <w:t>Incidence-rate data</w:t>
      </w:r>
      <w:r>
        <w:t xml:space="preserve"> - n</w:t>
      </w:r>
      <w:r w:rsidR="00996711" w:rsidRPr="00AE6F29">
        <w:t>umber of events</w:t>
      </w:r>
      <w:r w:rsidR="000D229D">
        <w:t xml:space="preserve"> (or cases)</w:t>
      </w:r>
      <w:r w:rsidR="00996711" w:rsidRPr="00AE6F29">
        <w:t xml:space="preserve"> and number of person-years</w:t>
      </w:r>
      <w:r w:rsidR="004D4E2C">
        <w:t xml:space="preserve"> </w:t>
      </w:r>
      <w:r w:rsidR="00A65768" w:rsidRPr="0023134F">
        <w:t xml:space="preserve">(e.g. </w:t>
      </w:r>
      <w:hyperlink r:id="rId11" w:history="1">
        <w:proofErr w:type="spellStart"/>
        <w:r w:rsidR="00A44105" w:rsidRPr="0023134F">
          <w:rPr>
            <w:rStyle w:val="Hyperlink"/>
          </w:rPr>
          <w:t>Wolk</w:t>
        </w:r>
        <w:proofErr w:type="spellEnd"/>
        <w:r w:rsidR="00A44105" w:rsidRPr="0023134F">
          <w:rPr>
            <w:rStyle w:val="Hyperlink"/>
          </w:rPr>
          <w:t xml:space="preserve"> et al</w:t>
        </w:r>
      </w:hyperlink>
      <w:r w:rsidR="00A65768" w:rsidRPr="0023134F">
        <w:rPr>
          <w:rStyle w:val="Hyperlink"/>
        </w:rPr>
        <w:t xml:space="preserve"> </w:t>
      </w:r>
      <w:r w:rsidR="00A65768" w:rsidRPr="0023134F">
        <w:t xml:space="preserve">, </w:t>
      </w:r>
      <w:r w:rsidR="002D3704" w:rsidRPr="0023134F">
        <w:t>Table 2</w:t>
      </w:r>
      <w:r w:rsidR="00CA0615">
        <w:t>,</w:t>
      </w:r>
      <w:r w:rsidR="00302CE1" w:rsidRPr="00302CE1">
        <w:t xml:space="preserve"> </w:t>
      </w:r>
      <w:r w:rsidR="004D4E2C">
        <w:t xml:space="preserve">reporting data on </w:t>
      </w:r>
      <w:r w:rsidR="00302CE1">
        <w:t>long-term intake of dietary fibre and risk of coronary heart disease</w:t>
      </w:r>
      <w:r w:rsidR="002D3704" w:rsidRPr="0023134F">
        <w:t>)</w:t>
      </w:r>
      <w:r w:rsidR="00996711" w:rsidRPr="0023134F">
        <w:t xml:space="preserve">. </w:t>
      </w:r>
    </w:p>
    <w:p w:rsidR="00C86877" w:rsidRPr="0023134F" w:rsidRDefault="0023134F" w:rsidP="00074F50">
      <w:pPr>
        <w:pStyle w:val="ListParagraph"/>
        <w:numPr>
          <w:ilvl w:val="0"/>
          <w:numId w:val="10"/>
        </w:numPr>
      </w:pPr>
      <w:r w:rsidRPr="004D4E2C">
        <w:rPr>
          <w:i/>
        </w:rPr>
        <w:t>Cumulative incidence data</w:t>
      </w:r>
      <w:r w:rsidRPr="0023134F">
        <w:t xml:space="preserve"> </w:t>
      </w:r>
      <w:r>
        <w:t>- n</w:t>
      </w:r>
      <w:r w:rsidR="00996711" w:rsidRPr="0023134F">
        <w:t xml:space="preserve">umber of events and total number of </w:t>
      </w:r>
      <w:r w:rsidR="00C86877" w:rsidRPr="0023134F">
        <w:t>people</w:t>
      </w:r>
      <w:r w:rsidR="004D4E2C">
        <w:t xml:space="preserve"> </w:t>
      </w:r>
      <w:r w:rsidR="00A65768" w:rsidRPr="0023134F">
        <w:t>(e.g.</w:t>
      </w:r>
      <w:r w:rsidR="00AE6F29" w:rsidRPr="0023134F">
        <w:t xml:space="preserve"> </w:t>
      </w:r>
      <w:hyperlink r:id="rId12" w:history="1">
        <w:proofErr w:type="spellStart"/>
        <w:r w:rsidR="009A7C2D" w:rsidRPr="0023134F">
          <w:rPr>
            <w:rStyle w:val="Hyperlink"/>
          </w:rPr>
          <w:t>Grundvold</w:t>
        </w:r>
        <w:proofErr w:type="spellEnd"/>
        <w:r w:rsidR="009A7C2D" w:rsidRPr="0023134F">
          <w:rPr>
            <w:rStyle w:val="Hyperlink"/>
          </w:rPr>
          <w:t xml:space="preserve"> et al</w:t>
        </w:r>
      </w:hyperlink>
      <w:r w:rsidR="00A65768" w:rsidRPr="0023134F">
        <w:t xml:space="preserve">, </w:t>
      </w:r>
      <w:r w:rsidR="009A7C2D" w:rsidRPr="0023134F">
        <w:t>Table 2</w:t>
      </w:r>
      <w:r w:rsidR="00302CE1">
        <w:t>,</w:t>
      </w:r>
      <w:r w:rsidR="004D4E2C" w:rsidRPr="004D4E2C">
        <w:t xml:space="preserve"> </w:t>
      </w:r>
      <w:r w:rsidR="004D4E2C">
        <w:t>reporting data on</w:t>
      </w:r>
      <w:r w:rsidR="00302CE1" w:rsidRPr="00302CE1">
        <w:t xml:space="preserve"> </w:t>
      </w:r>
      <w:r w:rsidR="00302CE1">
        <w:t>body mass index and risk of atrial fibrillation</w:t>
      </w:r>
      <w:r w:rsidR="009A7C2D" w:rsidRPr="0023134F">
        <w:t>)</w:t>
      </w:r>
      <w:r w:rsidR="00996711" w:rsidRPr="0023134F">
        <w:t xml:space="preserve">. </w:t>
      </w:r>
    </w:p>
    <w:p w:rsidR="00996711" w:rsidRDefault="0023134F" w:rsidP="00863E64">
      <w:pPr>
        <w:pStyle w:val="ListParagraph"/>
        <w:numPr>
          <w:ilvl w:val="0"/>
          <w:numId w:val="10"/>
        </w:numPr>
      </w:pPr>
      <w:r w:rsidRPr="004D4E2C">
        <w:rPr>
          <w:i/>
        </w:rPr>
        <w:t>Case-control data</w:t>
      </w:r>
      <w:r w:rsidRPr="004D4E2C">
        <w:rPr>
          <w:b/>
          <w:i/>
        </w:rPr>
        <w:t xml:space="preserve"> </w:t>
      </w:r>
      <w:r>
        <w:t>- n</w:t>
      </w:r>
      <w:r w:rsidR="00996711" w:rsidRPr="0023134F">
        <w:t>umber of case subjects and number of control subjects</w:t>
      </w:r>
      <w:r w:rsidR="004D4E2C">
        <w:t xml:space="preserve"> </w:t>
      </w:r>
      <w:r w:rsidR="00A65768" w:rsidRPr="0023134F">
        <w:t>(e.g.</w:t>
      </w:r>
      <w:r w:rsidR="00A65768" w:rsidRPr="004D4E2C">
        <w:rPr>
          <w:b/>
          <w:i/>
        </w:rPr>
        <w:t xml:space="preserve"> </w:t>
      </w:r>
      <w:hyperlink r:id="rId13" w:history="1">
        <w:r w:rsidR="00A44105" w:rsidRPr="00480965">
          <w:rPr>
            <w:rStyle w:val="Hyperlink"/>
          </w:rPr>
          <w:t>Rohan and McMichael</w:t>
        </w:r>
      </w:hyperlink>
      <w:r w:rsidR="00A65768">
        <w:rPr>
          <w:rStyle w:val="Hyperlink"/>
        </w:rPr>
        <w:t>,</w:t>
      </w:r>
      <w:r w:rsidR="00480965">
        <w:t xml:space="preserve"> Table II</w:t>
      </w:r>
      <w:r w:rsidR="004D4E2C">
        <w:t>,</w:t>
      </w:r>
      <w:r w:rsidR="004D4E2C" w:rsidRPr="004D4E2C">
        <w:t xml:space="preserve"> </w:t>
      </w:r>
      <w:r w:rsidR="004D4E2C">
        <w:t>reporting data on alcohol intake and risk of breast cancer)</w:t>
      </w:r>
      <w:r w:rsidR="00996711">
        <w:t xml:space="preserve">.  </w:t>
      </w:r>
    </w:p>
    <w:p w:rsidR="00E65209" w:rsidRDefault="00E65209" w:rsidP="00996711"/>
    <w:p w:rsidR="003E5601" w:rsidRPr="00A3479B" w:rsidRDefault="003E5601" w:rsidP="00996711">
      <w:pPr>
        <w:rPr>
          <w:b/>
          <w:i/>
        </w:rPr>
      </w:pPr>
      <w:r w:rsidRPr="00A3479B">
        <w:rPr>
          <w:b/>
          <w:i/>
        </w:rPr>
        <w:t xml:space="preserve">2. </w:t>
      </w:r>
      <w:r w:rsidR="001B5AA9" w:rsidRPr="00A3479B">
        <w:rPr>
          <w:b/>
          <w:i/>
        </w:rPr>
        <w:t xml:space="preserve"> </w:t>
      </w:r>
      <w:r w:rsidRPr="00A3479B">
        <w:rPr>
          <w:b/>
          <w:i/>
        </w:rPr>
        <w:t xml:space="preserve">Set the </w:t>
      </w:r>
      <w:r w:rsidR="001B5AA9" w:rsidRPr="00A3479B">
        <w:rPr>
          <w:b/>
          <w:i/>
          <w:color w:val="000000" w:themeColor="text1"/>
        </w:rPr>
        <w:t>average exposure</w:t>
      </w:r>
      <w:r w:rsidR="001B5AA9" w:rsidRPr="00A3479B">
        <w:rPr>
          <w:b/>
          <w:i/>
        </w:rPr>
        <w:t xml:space="preserve"> for each category. </w:t>
      </w:r>
    </w:p>
    <w:p w:rsidR="00632A33" w:rsidRDefault="001B5AA9" w:rsidP="00996711">
      <w:proofErr w:type="spellStart"/>
      <w:r>
        <w:t>Wolk</w:t>
      </w:r>
      <w:proofErr w:type="spellEnd"/>
      <w:r>
        <w:t xml:space="preserve"> et al reports quintiles of fibre intake and provides a median dose of fibre for each quintile: 11.5, 14.3, 16.4</w:t>
      </w:r>
      <w:r w:rsidR="00AF4702">
        <w:t xml:space="preserve">, </w:t>
      </w:r>
      <w:r>
        <w:t>18.8 and 22</w:t>
      </w:r>
      <w:r w:rsidR="00AD4F2E">
        <w:t>.</w:t>
      </w:r>
      <w:r>
        <w:t xml:space="preserve">9 g/day. </w:t>
      </w:r>
      <w:r w:rsidR="005C1FAD">
        <w:t xml:space="preserve">These medians represent the average dose. </w:t>
      </w:r>
      <w:proofErr w:type="spellStart"/>
      <w:r w:rsidR="009A7C2D">
        <w:t>Grundvold</w:t>
      </w:r>
      <w:proofErr w:type="spellEnd"/>
      <w:r w:rsidR="009A7C2D">
        <w:t xml:space="preserve"> et al </w:t>
      </w:r>
      <w:r>
        <w:t xml:space="preserve">report </w:t>
      </w:r>
      <w:r w:rsidR="00AF4702">
        <w:t xml:space="preserve">quintiles of </w:t>
      </w:r>
      <w:r w:rsidR="009A7C2D">
        <w:t>body mass index</w:t>
      </w:r>
      <w:r w:rsidR="00AF4702">
        <w:t xml:space="preserve"> (BMI) and provide a range for each quintile: BMI≤</w:t>
      </w:r>
      <w:r>
        <w:t xml:space="preserve"> </w:t>
      </w:r>
      <w:r w:rsidR="00AF4702">
        <w:t xml:space="preserve">26.2, BMI 26.3 to 28.7, BMI 28.8 to 31.3, BMI 31.4 to 34.8, and BMI </w:t>
      </w:r>
      <w:r w:rsidR="0000797F">
        <w:t>≥</w:t>
      </w:r>
      <w:r>
        <w:t xml:space="preserve"> </w:t>
      </w:r>
      <w:r w:rsidR="0000797F">
        <w:t>34.9 kg/m</w:t>
      </w:r>
      <w:r w:rsidR="0000797F" w:rsidRPr="0000797F">
        <w:rPr>
          <w:vertAlign w:val="superscript"/>
        </w:rPr>
        <w:t>2</w:t>
      </w:r>
      <w:r w:rsidR="0000797F">
        <w:t>.</w:t>
      </w:r>
      <w:r w:rsidR="00B032A4" w:rsidRPr="00B032A4">
        <w:t xml:space="preserve"> </w:t>
      </w:r>
      <w:r w:rsidR="00B032A4">
        <w:t xml:space="preserve">The </w:t>
      </w:r>
      <w:r w:rsidR="00FB2B11">
        <w:t xml:space="preserve">average BMI </w:t>
      </w:r>
      <w:r w:rsidR="00430A6F">
        <w:t>can be taken as</w:t>
      </w:r>
      <w:r w:rsidR="00FB2B11">
        <w:t xml:space="preserve"> the </w:t>
      </w:r>
      <w:r w:rsidR="00B032A4">
        <w:t>midpoint</w:t>
      </w:r>
      <w:r w:rsidR="00C5429B">
        <w:t xml:space="preserve"> </w:t>
      </w:r>
      <w:r w:rsidR="00FB2B11">
        <w:t>for</w:t>
      </w:r>
      <w:r w:rsidR="00B032A4">
        <w:t xml:space="preserve"> the inner quintiles</w:t>
      </w:r>
      <w:r w:rsidR="00FB2B11">
        <w:t>. T</w:t>
      </w:r>
      <w:r w:rsidR="00B032A4">
        <w:t xml:space="preserve">he outer quintiles </w:t>
      </w:r>
      <w:r w:rsidR="00FB2B11">
        <w:t xml:space="preserve">have one limit </w:t>
      </w:r>
      <w:r w:rsidR="00B032A4">
        <w:t>unbounded</w:t>
      </w:r>
      <w:r w:rsidR="00632A33">
        <w:t>,</w:t>
      </w:r>
      <w:r w:rsidR="00DA7A61">
        <w:t xml:space="preserve"> so averages need to</w:t>
      </w:r>
      <w:r w:rsidR="00632A33">
        <w:t xml:space="preserve"> be</w:t>
      </w:r>
      <w:r w:rsidR="00DA7A61">
        <w:t xml:space="preserve"> assigned</w:t>
      </w:r>
      <w:r w:rsidR="00632A33">
        <w:t xml:space="preserve"> based on actual knowledge or reasonable assumptions about the range of BMIs in the population</w:t>
      </w:r>
      <w:r w:rsidR="00DA7A61">
        <w:t>.</w:t>
      </w:r>
    </w:p>
    <w:p w:rsidR="001F095B" w:rsidRDefault="00DA7A61" w:rsidP="00996711">
      <w:r>
        <w:t xml:space="preserve">  </w:t>
      </w:r>
      <w:r w:rsidR="00443AAC">
        <w:t xml:space="preserve"> </w:t>
      </w:r>
      <w:r w:rsidR="00C5429B">
        <w:t xml:space="preserve"> </w:t>
      </w:r>
      <w:r w:rsidR="00B032A4">
        <w:t xml:space="preserve"> </w:t>
      </w:r>
    </w:p>
    <w:p w:rsidR="00632A33" w:rsidRPr="00A3479B" w:rsidRDefault="005C071C" w:rsidP="003E5601">
      <w:pPr>
        <w:pStyle w:val="ListParagraph"/>
        <w:numPr>
          <w:ilvl w:val="0"/>
          <w:numId w:val="9"/>
        </w:numPr>
        <w:rPr>
          <w:b/>
          <w:i/>
        </w:rPr>
      </w:pPr>
      <w:r>
        <w:rPr>
          <w:b/>
          <w:i/>
        </w:rPr>
        <w:t>C</w:t>
      </w:r>
      <w:r w:rsidR="003E5601" w:rsidRPr="00A3479B">
        <w:rPr>
          <w:b/>
          <w:i/>
        </w:rPr>
        <w:t xml:space="preserve">alculate the </w:t>
      </w:r>
      <w:r w:rsidR="00632A33" w:rsidRPr="00A3479B">
        <w:rPr>
          <w:b/>
          <w:i/>
        </w:rPr>
        <w:t>change in exposure from that of the reference group</w:t>
      </w:r>
      <w:r>
        <w:rPr>
          <w:b/>
          <w:i/>
        </w:rPr>
        <w:t xml:space="preserve"> (STATA only)</w:t>
      </w:r>
      <w:r w:rsidR="00632A33" w:rsidRPr="00A3479B">
        <w:rPr>
          <w:b/>
          <w:i/>
        </w:rPr>
        <w:t xml:space="preserve">. </w:t>
      </w:r>
    </w:p>
    <w:p w:rsidR="004D4E2C" w:rsidRDefault="00A3118B" w:rsidP="00996711">
      <w:pPr>
        <w:rPr>
          <w:rFonts w:eastAsiaTheme="majorEastAsia" w:cstheme="majorBidi"/>
          <w:szCs w:val="24"/>
        </w:rPr>
      </w:pPr>
      <w:r>
        <w:rPr>
          <w:rFonts w:eastAsiaTheme="majorEastAsia" w:cstheme="majorBidi"/>
          <w:szCs w:val="24"/>
        </w:rPr>
        <w:t>The</w:t>
      </w:r>
      <w:r w:rsidR="004D4E2C">
        <w:rPr>
          <w:rFonts w:eastAsiaTheme="majorEastAsia" w:cstheme="majorBidi"/>
          <w:szCs w:val="24"/>
        </w:rPr>
        <w:t xml:space="preserve"> reference group is </w:t>
      </w:r>
      <w:r>
        <w:rPr>
          <w:rFonts w:eastAsiaTheme="majorEastAsia" w:cstheme="majorBidi"/>
          <w:szCs w:val="24"/>
        </w:rPr>
        <w:t>the</w:t>
      </w:r>
      <w:r w:rsidR="004D4E2C">
        <w:rPr>
          <w:rFonts w:eastAsiaTheme="majorEastAsia" w:cstheme="majorBidi"/>
          <w:szCs w:val="24"/>
        </w:rPr>
        <w:t xml:space="preserve"> group to which </w:t>
      </w:r>
      <w:r>
        <w:rPr>
          <w:rFonts w:eastAsiaTheme="majorEastAsia" w:cstheme="majorBidi"/>
          <w:szCs w:val="24"/>
        </w:rPr>
        <w:t xml:space="preserve">the </w:t>
      </w:r>
      <w:r w:rsidR="004D4E2C">
        <w:rPr>
          <w:rFonts w:eastAsiaTheme="majorEastAsia" w:cstheme="majorBidi"/>
          <w:szCs w:val="24"/>
        </w:rPr>
        <w:t>other groups are compared.</w:t>
      </w:r>
      <w:r w:rsidR="00F82FAE">
        <w:rPr>
          <w:rFonts w:eastAsiaTheme="majorEastAsia" w:cstheme="majorBidi"/>
          <w:szCs w:val="24"/>
        </w:rPr>
        <w:t xml:space="preserve"> </w:t>
      </w:r>
      <w:r w:rsidR="00ED05FB">
        <w:rPr>
          <w:rFonts w:eastAsiaTheme="majorEastAsia" w:cstheme="majorBidi"/>
          <w:szCs w:val="24"/>
        </w:rPr>
        <w:t>If you are going to use STATA, calculate the c</w:t>
      </w:r>
      <w:r w:rsidR="00E23978">
        <w:rPr>
          <w:rFonts w:eastAsiaTheme="majorEastAsia" w:cstheme="majorBidi"/>
          <w:szCs w:val="24"/>
        </w:rPr>
        <w:t>hange in exposure from that of the reference group</w:t>
      </w:r>
      <w:r w:rsidR="00406DD8">
        <w:rPr>
          <w:rFonts w:eastAsiaTheme="majorEastAsia" w:cstheme="majorBidi"/>
          <w:szCs w:val="24"/>
        </w:rPr>
        <w:t>;</w:t>
      </w:r>
      <w:r w:rsidR="00ED05FB">
        <w:rPr>
          <w:rFonts w:eastAsiaTheme="majorEastAsia" w:cstheme="majorBidi"/>
          <w:szCs w:val="24"/>
        </w:rPr>
        <w:t xml:space="preserve"> </w:t>
      </w:r>
      <w:r w:rsidR="00E23978">
        <w:rPr>
          <w:rFonts w:eastAsiaTheme="majorEastAsia" w:cstheme="majorBidi"/>
          <w:szCs w:val="24"/>
        </w:rPr>
        <w:t xml:space="preserve">the </w:t>
      </w:r>
      <w:r w:rsidR="00AB5592">
        <w:rPr>
          <w:rFonts w:eastAsiaTheme="majorEastAsia" w:cstheme="majorBidi"/>
          <w:szCs w:val="24"/>
        </w:rPr>
        <w:t xml:space="preserve">change in </w:t>
      </w:r>
      <w:r w:rsidR="00D66B27">
        <w:rPr>
          <w:rFonts w:eastAsiaTheme="majorEastAsia" w:cstheme="majorBidi"/>
          <w:szCs w:val="24"/>
        </w:rPr>
        <w:t xml:space="preserve">exposure for the reference category </w:t>
      </w:r>
      <w:r w:rsidR="00ED05FB">
        <w:rPr>
          <w:rFonts w:eastAsiaTheme="majorEastAsia" w:cstheme="majorBidi"/>
          <w:szCs w:val="24"/>
        </w:rPr>
        <w:t>will be zero</w:t>
      </w:r>
      <w:r w:rsidR="00E23978">
        <w:rPr>
          <w:rFonts w:eastAsiaTheme="majorEastAsia" w:cstheme="majorBidi"/>
          <w:szCs w:val="24"/>
        </w:rPr>
        <w:t>.</w:t>
      </w:r>
      <w:r w:rsidR="00F82FAE">
        <w:rPr>
          <w:rFonts w:eastAsiaTheme="majorEastAsia" w:cstheme="majorBidi"/>
          <w:szCs w:val="24"/>
        </w:rPr>
        <w:t xml:space="preserve"> </w:t>
      </w:r>
      <w:r w:rsidR="00FD7CC6">
        <w:rPr>
          <w:rFonts w:eastAsiaTheme="majorEastAsia" w:cstheme="majorBidi"/>
          <w:szCs w:val="24"/>
        </w:rPr>
        <w:t xml:space="preserve">If the </w:t>
      </w:r>
      <w:r w:rsidR="00AB5592">
        <w:rPr>
          <w:rFonts w:eastAsiaTheme="majorEastAsia" w:cstheme="majorBidi"/>
          <w:szCs w:val="24"/>
        </w:rPr>
        <w:t xml:space="preserve">reported </w:t>
      </w:r>
      <w:r w:rsidR="00FD7CC6">
        <w:rPr>
          <w:rFonts w:eastAsiaTheme="majorEastAsia" w:cstheme="majorBidi"/>
          <w:szCs w:val="24"/>
        </w:rPr>
        <w:t xml:space="preserve">exposure for the </w:t>
      </w:r>
      <w:r w:rsidR="00AB5592">
        <w:rPr>
          <w:rFonts w:eastAsiaTheme="majorEastAsia" w:cstheme="majorBidi"/>
          <w:szCs w:val="24"/>
        </w:rPr>
        <w:t>reference category</w:t>
      </w:r>
      <w:r w:rsidR="00AB5592" w:rsidRPr="00AB5592">
        <w:rPr>
          <w:rFonts w:eastAsiaTheme="majorEastAsia" w:cstheme="majorBidi"/>
          <w:szCs w:val="24"/>
        </w:rPr>
        <w:t xml:space="preserve"> </w:t>
      </w:r>
      <w:r w:rsidR="00AB5592">
        <w:rPr>
          <w:rFonts w:eastAsiaTheme="majorEastAsia" w:cstheme="majorBidi"/>
          <w:szCs w:val="24"/>
        </w:rPr>
        <w:t>is zero, you don’t need to worry</w:t>
      </w:r>
      <w:r w:rsidR="001A4AD0">
        <w:rPr>
          <w:rFonts w:eastAsiaTheme="majorEastAsia" w:cstheme="majorBidi"/>
          <w:szCs w:val="24"/>
        </w:rPr>
        <w:t>,</w:t>
      </w:r>
      <w:r w:rsidR="00AB5592">
        <w:rPr>
          <w:rFonts w:eastAsiaTheme="majorEastAsia" w:cstheme="majorBidi"/>
          <w:szCs w:val="24"/>
        </w:rPr>
        <w:t xml:space="preserve"> as the change in exposures will equal the reported exposures. </w:t>
      </w:r>
    </w:p>
    <w:p w:rsidR="00D66B27" w:rsidRDefault="00D66B27" w:rsidP="00996711"/>
    <w:p w:rsidR="00A3479B" w:rsidRPr="00A3479B" w:rsidRDefault="00A3479B" w:rsidP="008B4905">
      <w:pPr>
        <w:pStyle w:val="ListParagraph"/>
        <w:numPr>
          <w:ilvl w:val="0"/>
          <w:numId w:val="9"/>
        </w:numPr>
        <w:rPr>
          <w:b/>
          <w:i/>
        </w:rPr>
      </w:pPr>
      <w:r w:rsidRPr="00A3479B">
        <w:rPr>
          <w:b/>
          <w:i/>
        </w:rPr>
        <w:t xml:space="preserve">Apply the </w:t>
      </w:r>
      <w:r w:rsidR="00FC6B8A" w:rsidRPr="00A3479B">
        <w:rPr>
          <w:b/>
          <w:i/>
        </w:rPr>
        <w:t xml:space="preserve">trend estimation method </w:t>
      </w:r>
    </w:p>
    <w:p w:rsidR="00E23978" w:rsidRDefault="00941F0F" w:rsidP="00A3479B">
      <w:r>
        <w:t>The trend estimation method</w:t>
      </w:r>
      <w:r w:rsidR="00A3479B">
        <w:t xml:space="preserve"> </w:t>
      </w:r>
      <w:r w:rsidR="00FC6B8A">
        <w:t>is based on generalised least squares</w:t>
      </w:r>
      <w:r>
        <w:t xml:space="preserve">. This </w:t>
      </w:r>
      <w:r w:rsidR="00FC6B8A">
        <w:t xml:space="preserve">is a technique used for estimating the unknown parameters in a linear regression model </w:t>
      </w:r>
      <w:r>
        <w:t>where</w:t>
      </w:r>
      <w:r w:rsidR="00FC6B8A">
        <w:t xml:space="preserve"> </w:t>
      </w:r>
      <w:r>
        <w:t>there</w:t>
      </w:r>
      <w:r w:rsidR="00FC6B8A">
        <w:t xml:space="preserve"> is some correlation between the residuals.</w:t>
      </w:r>
      <w:r w:rsidR="00FC6B8A" w:rsidRPr="000C6A40">
        <w:t xml:space="preserve"> </w:t>
      </w:r>
    </w:p>
    <w:p w:rsidR="009C5E6E" w:rsidRDefault="009C5E6E" w:rsidP="00A3479B"/>
    <w:p w:rsidR="000125E5" w:rsidRDefault="000125E5" w:rsidP="00A3479B">
      <w:r>
        <w:t xml:space="preserve">Below is the basic code </w:t>
      </w:r>
      <w:r w:rsidR="00640985">
        <w:t>to apply t</w:t>
      </w:r>
      <w:r>
        <w:t xml:space="preserve">he trend estimation method to </w:t>
      </w:r>
      <w:r w:rsidR="00640985">
        <w:t xml:space="preserve">data from </w:t>
      </w:r>
      <w:r>
        <w:t>a single study in STATA and</w:t>
      </w:r>
      <w:r w:rsidR="00980999">
        <w:t xml:space="preserve"> the corresponding code in</w:t>
      </w:r>
      <w:r>
        <w:t xml:space="preserve"> R.  </w:t>
      </w:r>
    </w:p>
    <w:p w:rsidR="00E23978" w:rsidRDefault="00E23978" w:rsidP="00A3479B"/>
    <w:p w:rsidR="00E23978" w:rsidRPr="00471F96" w:rsidRDefault="00E23978" w:rsidP="00A3479B">
      <w:pPr>
        <w:rPr>
          <w:rFonts w:ascii="Calibri" w:hAnsi="Calibri"/>
          <w:b/>
        </w:rPr>
      </w:pPr>
      <w:r w:rsidRPr="00471F96">
        <w:rPr>
          <w:rFonts w:ascii="Calibri" w:hAnsi="Calibri"/>
          <w:b/>
        </w:rPr>
        <w:t xml:space="preserve">STATA </w:t>
      </w:r>
      <w:r w:rsidR="00A3118B" w:rsidRPr="00471F96">
        <w:rPr>
          <w:rFonts w:ascii="Calibri" w:hAnsi="Calibri"/>
          <w:b/>
        </w:rPr>
        <w:t>CODE</w:t>
      </w:r>
    </w:p>
    <w:p w:rsidR="00A3118B" w:rsidRPr="005C747B" w:rsidRDefault="00A3118B" w:rsidP="00A3479B">
      <w:pPr>
        <w:rPr>
          <w:rFonts w:ascii="Calibri" w:hAnsi="Calibri"/>
        </w:rPr>
      </w:pPr>
    </w:p>
    <w:p w:rsidR="00E23978" w:rsidRPr="005C747B" w:rsidRDefault="00B6070C" w:rsidP="00A3479B">
      <w:pPr>
        <w:rPr>
          <w:rFonts w:ascii="Calibri" w:hAnsi="Calibri" w:cs="Arial"/>
        </w:rPr>
      </w:pPr>
      <w:r>
        <w:rPr>
          <w:rFonts w:ascii="Calibri" w:hAnsi="Calibri" w:cs="Arial"/>
        </w:rPr>
        <w:t>F</w:t>
      </w:r>
      <w:r w:rsidR="00B34923" w:rsidRPr="005C747B">
        <w:rPr>
          <w:rFonts w:ascii="Calibri" w:hAnsi="Calibri" w:cs="Arial"/>
        </w:rPr>
        <w:t xml:space="preserve">irst install </w:t>
      </w:r>
      <w:proofErr w:type="spellStart"/>
      <w:r w:rsidR="00B34923" w:rsidRPr="005C747B">
        <w:rPr>
          <w:rFonts w:ascii="Calibri" w:hAnsi="Calibri" w:cs="Arial"/>
        </w:rPr>
        <w:t>glst</w:t>
      </w:r>
      <w:proofErr w:type="spellEnd"/>
    </w:p>
    <w:p w:rsidR="00C649AA" w:rsidRPr="005C747B" w:rsidRDefault="00C649AA" w:rsidP="00A3479B">
      <w:pPr>
        <w:rPr>
          <w:rFonts w:ascii="Courier New" w:hAnsi="Courier New" w:cs="Courier New"/>
        </w:rPr>
      </w:pPr>
      <w:proofErr w:type="spellStart"/>
      <w:proofErr w:type="gramStart"/>
      <w:r w:rsidRPr="005C747B">
        <w:rPr>
          <w:rFonts w:ascii="Courier New" w:hAnsi="Courier New" w:cs="Courier New"/>
        </w:rPr>
        <w:t>findit</w:t>
      </w:r>
      <w:proofErr w:type="spellEnd"/>
      <w:proofErr w:type="gramEnd"/>
      <w:r w:rsidRPr="005C747B">
        <w:rPr>
          <w:rFonts w:ascii="Courier New" w:hAnsi="Courier New" w:cs="Courier New"/>
        </w:rPr>
        <w:t xml:space="preserve"> </w:t>
      </w:r>
      <w:proofErr w:type="spellStart"/>
      <w:r w:rsidRPr="005C747B">
        <w:rPr>
          <w:rFonts w:ascii="Courier New" w:hAnsi="Courier New" w:cs="Courier New"/>
        </w:rPr>
        <w:t>glst</w:t>
      </w:r>
      <w:proofErr w:type="spellEnd"/>
    </w:p>
    <w:p w:rsidR="005C747B" w:rsidRDefault="005C747B" w:rsidP="00A3479B">
      <w:pPr>
        <w:rPr>
          <w:rFonts w:ascii="Calibri" w:hAnsi="Calibri" w:cs="Arial"/>
        </w:rPr>
      </w:pPr>
    </w:p>
    <w:p w:rsidR="00430A6F" w:rsidRPr="005C747B" w:rsidRDefault="00430A6F" w:rsidP="00430A6F">
      <w:pPr>
        <w:rPr>
          <w:rFonts w:ascii="Courier New" w:hAnsi="Courier New" w:cs="Courier New"/>
        </w:rPr>
      </w:pPr>
      <w:proofErr w:type="spellStart"/>
      <w:proofErr w:type="gramStart"/>
      <w:r w:rsidRPr="005C747B">
        <w:rPr>
          <w:rFonts w:ascii="Courier New" w:hAnsi="Courier New" w:cs="Courier New"/>
        </w:rPr>
        <w:t>glst</w:t>
      </w:r>
      <w:proofErr w:type="spellEnd"/>
      <w:proofErr w:type="gramEnd"/>
      <w:r w:rsidRPr="005C747B">
        <w:rPr>
          <w:rFonts w:ascii="Courier New" w:hAnsi="Courier New" w:cs="Courier New"/>
        </w:rPr>
        <w:t xml:space="preserve"> </w:t>
      </w:r>
      <w:proofErr w:type="spellStart"/>
      <w:r w:rsidRPr="005C747B">
        <w:rPr>
          <w:rFonts w:ascii="Courier New" w:hAnsi="Courier New" w:cs="Courier New"/>
        </w:rPr>
        <w:t>depvar</w:t>
      </w:r>
      <w:proofErr w:type="spellEnd"/>
      <w:r w:rsidRPr="005C747B">
        <w:rPr>
          <w:rFonts w:ascii="Courier New" w:hAnsi="Courier New" w:cs="Courier New"/>
        </w:rPr>
        <w:t xml:space="preserve"> change, se(</w:t>
      </w:r>
      <w:proofErr w:type="spellStart"/>
      <w:r w:rsidRPr="005C747B">
        <w:rPr>
          <w:rFonts w:ascii="Courier New" w:hAnsi="Courier New" w:cs="Courier New"/>
        </w:rPr>
        <w:t>varname</w:t>
      </w:r>
      <w:proofErr w:type="spellEnd"/>
      <w:r w:rsidRPr="005C747B">
        <w:rPr>
          <w:rFonts w:ascii="Courier New" w:hAnsi="Courier New" w:cs="Courier New"/>
        </w:rPr>
        <w:t xml:space="preserve">) </w:t>
      </w:r>
      <w:proofErr w:type="spellStart"/>
      <w:r w:rsidRPr="005C747B">
        <w:rPr>
          <w:rFonts w:ascii="Courier New" w:hAnsi="Courier New" w:cs="Courier New"/>
        </w:rPr>
        <w:t>cov</w:t>
      </w:r>
      <w:proofErr w:type="spellEnd"/>
      <w:r w:rsidRPr="005C747B">
        <w:rPr>
          <w:rFonts w:ascii="Courier New" w:hAnsi="Courier New" w:cs="Courier New"/>
        </w:rPr>
        <w:t xml:space="preserve">(n cases) </w:t>
      </w:r>
      <w:r w:rsidR="00A3118B">
        <w:rPr>
          <w:rFonts w:ascii="Courier New" w:hAnsi="Courier New" w:cs="Courier New"/>
        </w:rPr>
        <w:t>type</w:t>
      </w:r>
    </w:p>
    <w:p w:rsidR="00430A6F" w:rsidRPr="005C747B" w:rsidRDefault="00430A6F" w:rsidP="00430A6F">
      <w:pPr>
        <w:rPr>
          <w:rFonts w:ascii="Calibri" w:hAnsi="Calibri" w:cs="Arial"/>
        </w:rPr>
      </w:pPr>
    </w:p>
    <w:p w:rsidR="00FC6B8A" w:rsidRPr="005C747B" w:rsidRDefault="00FC6B8A" w:rsidP="00FC6B8A">
      <w:pPr>
        <w:rPr>
          <w:rFonts w:ascii="Calibri" w:hAnsi="Calibri" w:cs="Arial"/>
        </w:rPr>
      </w:pPr>
      <w:proofErr w:type="gramStart"/>
      <w:r w:rsidRPr="005C747B">
        <w:rPr>
          <w:rFonts w:ascii="Calibri" w:hAnsi="Calibri" w:cs="Arial"/>
        </w:rPr>
        <w:t>where</w:t>
      </w:r>
      <w:proofErr w:type="gramEnd"/>
      <w:r w:rsidRPr="005C747B">
        <w:rPr>
          <w:rFonts w:ascii="Calibri" w:hAnsi="Calibri" w:cs="Arial"/>
        </w:rPr>
        <w:t xml:space="preserve"> </w:t>
      </w:r>
    </w:p>
    <w:p w:rsidR="00FC6B8A" w:rsidRPr="005C747B" w:rsidRDefault="00FC6B8A" w:rsidP="00FC6B8A">
      <w:pPr>
        <w:rPr>
          <w:rFonts w:ascii="Calibri" w:hAnsi="Calibri" w:cs="Arial"/>
        </w:rPr>
      </w:pPr>
    </w:p>
    <w:p w:rsidR="00FC6B8A" w:rsidRPr="005C747B" w:rsidRDefault="00FC6B8A" w:rsidP="00FC6B8A">
      <w:pPr>
        <w:rPr>
          <w:rFonts w:ascii="Calibri" w:hAnsi="Calibri" w:cs="Arial"/>
        </w:rPr>
      </w:pPr>
      <w:proofErr w:type="spellStart"/>
      <w:proofErr w:type="gramStart"/>
      <w:r w:rsidRPr="005C747B">
        <w:rPr>
          <w:rFonts w:ascii="Courier New" w:hAnsi="Courier New" w:cs="Courier New"/>
        </w:rPr>
        <w:t>depvar</w:t>
      </w:r>
      <w:proofErr w:type="spellEnd"/>
      <w:proofErr w:type="gramEnd"/>
      <w:r w:rsidRPr="005C747B">
        <w:rPr>
          <w:rFonts w:ascii="Calibri" w:hAnsi="Calibri" w:cs="Arial"/>
        </w:rPr>
        <w:t xml:space="preserve">, the dependent variable, </w:t>
      </w:r>
      <w:r w:rsidR="00451A0A" w:rsidRPr="005C747B">
        <w:rPr>
          <w:rFonts w:ascii="Calibri" w:hAnsi="Calibri" w:cs="Arial"/>
        </w:rPr>
        <w:t>is</w:t>
      </w:r>
      <w:r w:rsidRPr="005C747B">
        <w:rPr>
          <w:rFonts w:ascii="Calibri" w:hAnsi="Calibri" w:cs="Arial"/>
        </w:rPr>
        <w:t xml:space="preserve"> the log hazard ratios</w:t>
      </w:r>
      <w:r w:rsidR="00430A6F" w:rsidRPr="005C747B">
        <w:rPr>
          <w:rFonts w:ascii="Calibri" w:hAnsi="Calibri" w:cs="Arial"/>
        </w:rPr>
        <w:t xml:space="preserve"> (log </w:t>
      </w:r>
      <w:r w:rsidR="005616A9" w:rsidRPr="005C747B">
        <w:rPr>
          <w:rFonts w:ascii="Calibri" w:hAnsi="Calibri" w:cs="Arial"/>
        </w:rPr>
        <w:t xml:space="preserve">relative risks or </w:t>
      </w:r>
      <w:r w:rsidR="00430A6F" w:rsidRPr="005C747B">
        <w:rPr>
          <w:rFonts w:ascii="Calibri" w:hAnsi="Calibri" w:cs="Arial"/>
        </w:rPr>
        <w:t xml:space="preserve">log </w:t>
      </w:r>
      <w:r w:rsidR="005616A9" w:rsidRPr="005C747B">
        <w:rPr>
          <w:rFonts w:ascii="Calibri" w:hAnsi="Calibri" w:cs="Arial"/>
        </w:rPr>
        <w:t>odds ratio</w:t>
      </w:r>
      <w:r w:rsidR="00430A6F" w:rsidRPr="005C747B">
        <w:rPr>
          <w:rFonts w:ascii="Calibri" w:hAnsi="Calibri" w:cs="Arial"/>
        </w:rPr>
        <w:t>)</w:t>
      </w:r>
      <w:r w:rsidRPr="005C747B">
        <w:rPr>
          <w:rFonts w:ascii="Calibri" w:hAnsi="Calibri" w:cs="Arial"/>
        </w:rPr>
        <w:t xml:space="preserve"> of the outcome variable. </w:t>
      </w:r>
    </w:p>
    <w:p w:rsidR="00A3118B" w:rsidRPr="005C747B" w:rsidRDefault="00A3118B" w:rsidP="00A3118B">
      <w:pPr>
        <w:rPr>
          <w:rFonts w:ascii="Calibri" w:hAnsi="Calibri" w:cs="Arial"/>
        </w:rPr>
      </w:pPr>
      <w:proofErr w:type="gramStart"/>
      <w:r w:rsidRPr="005C747B">
        <w:rPr>
          <w:rFonts w:ascii="Courier New" w:hAnsi="Courier New" w:cs="Courier New"/>
        </w:rPr>
        <w:t>change</w:t>
      </w:r>
      <w:proofErr w:type="gramEnd"/>
      <w:r w:rsidRPr="005C747B">
        <w:rPr>
          <w:rFonts w:ascii="Calibri" w:hAnsi="Calibri" w:cs="Arial"/>
        </w:rPr>
        <w:t>, the independent variable, is the change in exposure</w:t>
      </w:r>
      <w:r w:rsidR="00640985">
        <w:rPr>
          <w:rFonts w:ascii="Calibri" w:hAnsi="Calibri" w:cs="Arial"/>
        </w:rPr>
        <w:t xml:space="preserve"> (dose)</w:t>
      </w:r>
      <w:r w:rsidRPr="005C747B">
        <w:rPr>
          <w:rFonts w:ascii="Calibri" w:hAnsi="Calibri" w:cs="Arial"/>
        </w:rPr>
        <w:t xml:space="preserve"> from </w:t>
      </w:r>
      <w:r w:rsidR="00980999">
        <w:rPr>
          <w:rFonts w:ascii="Calibri" w:hAnsi="Calibri" w:cs="Arial"/>
        </w:rPr>
        <w:t>that of the</w:t>
      </w:r>
      <w:r w:rsidRPr="005C747B">
        <w:rPr>
          <w:rFonts w:ascii="Calibri" w:hAnsi="Calibri" w:cs="Arial"/>
        </w:rPr>
        <w:t xml:space="preserve"> reference category. </w:t>
      </w:r>
    </w:p>
    <w:p w:rsidR="00FC6B8A" w:rsidRPr="005C747B" w:rsidRDefault="00FC6B8A" w:rsidP="00FC6B8A">
      <w:pPr>
        <w:rPr>
          <w:rFonts w:ascii="Courier New" w:hAnsi="Courier New" w:cs="Courier New"/>
        </w:rPr>
      </w:pPr>
      <w:proofErr w:type="spellStart"/>
      <w:proofErr w:type="gramStart"/>
      <w:r w:rsidRPr="005C747B">
        <w:rPr>
          <w:rFonts w:ascii="Courier New" w:hAnsi="Courier New" w:cs="Courier New"/>
        </w:rPr>
        <w:t>varname</w:t>
      </w:r>
      <w:proofErr w:type="spellEnd"/>
      <w:proofErr w:type="gramEnd"/>
      <w:r w:rsidRPr="005C747B">
        <w:rPr>
          <w:rFonts w:ascii="Calibri" w:hAnsi="Calibri" w:cs="Arial"/>
        </w:rPr>
        <w:t xml:space="preserve"> in </w:t>
      </w:r>
      <w:r w:rsidRPr="005C747B">
        <w:rPr>
          <w:rFonts w:ascii="Courier New" w:hAnsi="Courier New" w:cs="Courier New"/>
        </w:rPr>
        <w:t>se(</w:t>
      </w:r>
      <w:proofErr w:type="spellStart"/>
      <w:r w:rsidRPr="005C747B">
        <w:rPr>
          <w:rFonts w:ascii="Courier New" w:hAnsi="Courier New" w:cs="Courier New"/>
        </w:rPr>
        <w:t>varname</w:t>
      </w:r>
      <w:proofErr w:type="spellEnd"/>
      <w:r w:rsidRPr="005C747B">
        <w:rPr>
          <w:rFonts w:ascii="Courier New" w:hAnsi="Courier New" w:cs="Courier New"/>
        </w:rPr>
        <w:t>)</w:t>
      </w:r>
      <w:r w:rsidRPr="005C747B">
        <w:rPr>
          <w:rFonts w:ascii="Calibri" w:hAnsi="Calibri" w:cs="Arial"/>
        </w:rPr>
        <w:t xml:space="preserve"> </w:t>
      </w:r>
      <w:r w:rsidR="00451A0A" w:rsidRPr="005C747B">
        <w:rPr>
          <w:rFonts w:ascii="Calibri" w:hAnsi="Calibri" w:cs="Arial"/>
        </w:rPr>
        <w:t>is</w:t>
      </w:r>
      <w:r w:rsidRPr="005C747B">
        <w:rPr>
          <w:rFonts w:ascii="Calibri" w:hAnsi="Calibri" w:cs="Arial"/>
        </w:rPr>
        <w:t xml:space="preserve"> the estimate of </w:t>
      </w:r>
      <w:r w:rsidR="005616A9" w:rsidRPr="005C747B">
        <w:rPr>
          <w:rFonts w:ascii="Calibri" w:hAnsi="Calibri" w:cs="Arial"/>
        </w:rPr>
        <w:t>the</w:t>
      </w:r>
      <w:r w:rsidRPr="005C747B">
        <w:rPr>
          <w:rFonts w:ascii="Calibri" w:hAnsi="Calibri" w:cs="Arial"/>
        </w:rPr>
        <w:t xml:space="preserve"> standard error</w:t>
      </w:r>
      <w:r w:rsidR="005616A9" w:rsidRPr="005C747B">
        <w:rPr>
          <w:rFonts w:ascii="Calibri" w:hAnsi="Calibri" w:cs="Arial"/>
        </w:rPr>
        <w:t xml:space="preserve"> of </w:t>
      </w:r>
      <w:proofErr w:type="spellStart"/>
      <w:r w:rsidR="005616A9" w:rsidRPr="005C747B">
        <w:rPr>
          <w:rFonts w:ascii="Courier New" w:hAnsi="Courier New" w:cs="Courier New"/>
        </w:rPr>
        <w:t>depvar</w:t>
      </w:r>
      <w:proofErr w:type="spellEnd"/>
    </w:p>
    <w:p w:rsidR="00A3118B" w:rsidRPr="005C747B" w:rsidRDefault="00A3118B" w:rsidP="00A3118B">
      <w:pPr>
        <w:rPr>
          <w:rFonts w:ascii="Calibri" w:hAnsi="Calibri" w:cs="Arial"/>
        </w:rPr>
      </w:pPr>
      <w:proofErr w:type="gramStart"/>
      <w:r w:rsidRPr="005C747B">
        <w:rPr>
          <w:rFonts w:ascii="Courier New" w:hAnsi="Courier New" w:cs="Courier New"/>
        </w:rPr>
        <w:t>n</w:t>
      </w:r>
      <w:proofErr w:type="gramEnd"/>
      <w:r w:rsidRPr="005C747B">
        <w:rPr>
          <w:rFonts w:ascii="Calibri" w:hAnsi="Calibri" w:cs="Arial"/>
        </w:rPr>
        <w:t xml:space="preserve"> is the number of person-years for incidence-rate data and the total number of subjects for cumulative incidence and case-control data.</w:t>
      </w:r>
    </w:p>
    <w:p w:rsidR="00FC6B8A" w:rsidRPr="005C747B" w:rsidRDefault="00FC6B8A" w:rsidP="00FC6B8A">
      <w:pPr>
        <w:rPr>
          <w:rFonts w:ascii="Calibri" w:hAnsi="Calibri" w:cs="Arial"/>
        </w:rPr>
      </w:pPr>
      <w:proofErr w:type="gramStart"/>
      <w:r w:rsidRPr="005C747B">
        <w:rPr>
          <w:rFonts w:ascii="Courier New" w:hAnsi="Courier New" w:cs="Courier New"/>
        </w:rPr>
        <w:lastRenderedPageBreak/>
        <w:t>cases</w:t>
      </w:r>
      <w:proofErr w:type="gramEnd"/>
      <w:r w:rsidRPr="005C747B">
        <w:rPr>
          <w:rFonts w:ascii="Calibri" w:hAnsi="Calibri" w:cs="Arial"/>
        </w:rPr>
        <w:t xml:space="preserve"> </w:t>
      </w:r>
      <w:r w:rsidR="00451A0A" w:rsidRPr="005C747B">
        <w:rPr>
          <w:rFonts w:ascii="Calibri" w:hAnsi="Calibri" w:cs="Arial"/>
        </w:rPr>
        <w:t>i</w:t>
      </w:r>
      <w:r w:rsidRPr="005C747B">
        <w:rPr>
          <w:rFonts w:ascii="Calibri" w:hAnsi="Calibri" w:cs="Arial"/>
        </w:rPr>
        <w:t xml:space="preserve">s </w:t>
      </w:r>
      <w:r w:rsidR="00451A0A" w:rsidRPr="005C747B">
        <w:rPr>
          <w:rFonts w:ascii="Calibri" w:hAnsi="Calibri" w:cs="Arial"/>
        </w:rPr>
        <w:t xml:space="preserve">the </w:t>
      </w:r>
      <w:r w:rsidRPr="005C747B">
        <w:rPr>
          <w:rFonts w:ascii="Calibri" w:hAnsi="Calibri" w:cs="Arial"/>
        </w:rPr>
        <w:t>number of events for incidence-rate and cumulative incidence da</w:t>
      </w:r>
      <w:r w:rsidR="00451A0A" w:rsidRPr="005C747B">
        <w:rPr>
          <w:rFonts w:ascii="Calibri" w:hAnsi="Calibri" w:cs="Arial"/>
        </w:rPr>
        <w:t xml:space="preserve">ta, and </w:t>
      </w:r>
      <w:r w:rsidR="00430A6F" w:rsidRPr="005C747B">
        <w:rPr>
          <w:rFonts w:ascii="Calibri" w:hAnsi="Calibri" w:cs="Arial"/>
        </w:rPr>
        <w:t xml:space="preserve">the number of </w:t>
      </w:r>
      <w:r w:rsidRPr="005C747B">
        <w:rPr>
          <w:rFonts w:ascii="Calibri" w:hAnsi="Calibri" w:cs="Arial"/>
        </w:rPr>
        <w:t>subjects for case-control data.</w:t>
      </w:r>
    </w:p>
    <w:p w:rsidR="00A3118B" w:rsidRPr="005C747B" w:rsidRDefault="00A3118B" w:rsidP="00A3118B">
      <w:pPr>
        <w:rPr>
          <w:rFonts w:ascii="Calibri" w:hAnsi="Calibri" w:cs="Arial"/>
        </w:rPr>
      </w:pPr>
      <w:proofErr w:type="gramStart"/>
      <w:r w:rsidRPr="005C747B">
        <w:rPr>
          <w:rFonts w:ascii="Courier New" w:hAnsi="Courier New" w:cs="Courier New"/>
        </w:rPr>
        <w:t>type</w:t>
      </w:r>
      <w:proofErr w:type="gramEnd"/>
      <w:r w:rsidRPr="005C747B">
        <w:rPr>
          <w:rFonts w:ascii="Calibri" w:hAnsi="Calibri" w:cs="Arial"/>
        </w:rPr>
        <w:t xml:space="preserve"> is the code for the study design – “cc” for case control data, “</w:t>
      </w:r>
      <w:proofErr w:type="spellStart"/>
      <w:r w:rsidRPr="005C747B">
        <w:rPr>
          <w:rFonts w:ascii="Calibri" w:hAnsi="Calibri" w:cs="Arial"/>
        </w:rPr>
        <w:t>ir</w:t>
      </w:r>
      <w:proofErr w:type="spellEnd"/>
      <w:r w:rsidRPr="005C747B">
        <w:rPr>
          <w:rFonts w:ascii="Calibri" w:hAnsi="Calibri" w:cs="Arial"/>
        </w:rPr>
        <w:t>” for incidence rate data and “ci” for cumulative incidence data.</w:t>
      </w:r>
    </w:p>
    <w:p w:rsidR="009C5E6E" w:rsidRPr="005C747B" w:rsidRDefault="009C5E6E" w:rsidP="00FC6B8A">
      <w:pPr>
        <w:rPr>
          <w:rFonts w:ascii="Calibri" w:hAnsi="Calibri" w:cs="Arial"/>
        </w:rPr>
      </w:pPr>
    </w:p>
    <w:p w:rsidR="00C649AA" w:rsidRPr="00471F96" w:rsidRDefault="00A3118B" w:rsidP="00FC6B8A">
      <w:pPr>
        <w:rPr>
          <w:rFonts w:ascii="Calibri" w:hAnsi="Calibri" w:cs="Arial"/>
          <w:b/>
        </w:rPr>
      </w:pPr>
      <w:r w:rsidRPr="00471F96">
        <w:rPr>
          <w:rFonts w:ascii="Calibri" w:hAnsi="Calibri" w:cs="Arial"/>
          <w:b/>
        </w:rPr>
        <w:t>R CODE</w:t>
      </w:r>
      <w:r w:rsidR="00B57049">
        <w:rPr>
          <w:rFonts w:ascii="Calibri" w:hAnsi="Calibri" w:cs="Arial"/>
          <w:b/>
        </w:rPr>
        <w:t xml:space="preserve"> </w:t>
      </w:r>
    </w:p>
    <w:p w:rsidR="00471F96" w:rsidRPr="005C747B" w:rsidRDefault="00471F96" w:rsidP="00FC6B8A">
      <w:pPr>
        <w:rPr>
          <w:rFonts w:ascii="Calibri" w:hAnsi="Calibri" w:cs="Arial"/>
        </w:rPr>
      </w:pPr>
    </w:p>
    <w:p w:rsidR="00C649AA" w:rsidRPr="005C747B" w:rsidRDefault="00B6070C" w:rsidP="00FC6B8A">
      <w:pPr>
        <w:rPr>
          <w:rFonts w:ascii="Calibri" w:hAnsi="Calibri" w:cs="Arial"/>
        </w:rPr>
      </w:pPr>
      <w:r>
        <w:rPr>
          <w:rFonts w:ascii="Calibri" w:hAnsi="Calibri" w:cs="Arial"/>
        </w:rPr>
        <w:t>F</w:t>
      </w:r>
      <w:r w:rsidR="00C649AA" w:rsidRPr="005C747B">
        <w:rPr>
          <w:rFonts w:ascii="Calibri" w:hAnsi="Calibri" w:cs="Arial"/>
        </w:rPr>
        <w:t xml:space="preserve">irst install </w:t>
      </w:r>
      <w:proofErr w:type="spellStart"/>
      <w:r w:rsidR="00C649AA" w:rsidRPr="005C747B">
        <w:rPr>
          <w:rFonts w:ascii="Calibri" w:hAnsi="Calibri" w:cs="Arial"/>
        </w:rPr>
        <w:t>dosresmeta</w:t>
      </w:r>
      <w:proofErr w:type="spellEnd"/>
    </w:p>
    <w:p w:rsidR="00592322" w:rsidRPr="005C747B" w:rsidRDefault="00592322" w:rsidP="00592322">
      <w:pPr>
        <w:rPr>
          <w:rFonts w:ascii="Courier New" w:hAnsi="Courier New" w:cs="Courier New"/>
        </w:rPr>
      </w:pPr>
      <w:proofErr w:type="spellStart"/>
      <w:proofErr w:type="gramStart"/>
      <w:r w:rsidRPr="005C747B">
        <w:rPr>
          <w:rFonts w:ascii="Courier New" w:hAnsi="Courier New" w:cs="Courier New"/>
        </w:rPr>
        <w:t>install.packages</w:t>
      </w:r>
      <w:proofErr w:type="spellEnd"/>
      <w:r w:rsidRPr="005C747B">
        <w:rPr>
          <w:rFonts w:ascii="Courier New" w:hAnsi="Courier New" w:cs="Courier New"/>
        </w:rPr>
        <w:t>(</w:t>
      </w:r>
      <w:proofErr w:type="gramEnd"/>
      <w:r w:rsidRPr="005C747B">
        <w:rPr>
          <w:rFonts w:ascii="Courier New" w:hAnsi="Courier New" w:cs="Courier New"/>
        </w:rPr>
        <w:t>"</w:t>
      </w:r>
      <w:proofErr w:type="spellStart"/>
      <w:r w:rsidRPr="005C747B">
        <w:rPr>
          <w:rFonts w:ascii="Courier New" w:hAnsi="Courier New" w:cs="Courier New"/>
        </w:rPr>
        <w:t>dosresmeta</w:t>
      </w:r>
      <w:proofErr w:type="spellEnd"/>
      <w:r w:rsidRPr="005C747B">
        <w:rPr>
          <w:rFonts w:ascii="Courier New" w:hAnsi="Courier New" w:cs="Courier New"/>
        </w:rPr>
        <w:t>")</w:t>
      </w:r>
    </w:p>
    <w:p w:rsidR="00592322" w:rsidRPr="005C747B" w:rsidRDefault="004C7CB4" w:rsidP="005C747B">
      <w:pPr>
        <w:tabs>
          <w:tab w:val="left" w:pos="3384"/>
        </w:tabs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library</w:t>
      </w:r>
      <w:r w:rsidRPr="004C7CB4">
        <w:rPr>
          <w:rFonts w:ascii="Courier New" w:hAnsi="Courier New" w:cs="Courier New"/>
        </w:rPr>
        <w:t>(</w:t>
      </w:r>
      <w:proofErr w:type="gramEnd"/>
      <w:r w:rsidRPr="004C7CB4">
        <w:rPr>
          <w:rFonts w:ascii="Courier New" w:hAnsi="Courier New" w:cs="Courier New"/>
        </w:rPr>
        <w:t>"</w:t>
      </w:r>
      <w:proofErr w:type="spellStart"/>
      <w:r w:rsidRPr="004C7CB4">
        <w:rPr>
          <w:rFonts w:ascii="Courier New" w:hAnsi="Courier New" w:cs="Courier New"/>
        </w:rPr>
        <w:t>dosresmeta</w:t>
      </w:r>
      <w:proofErr w:type="spellEnd"/>
      <w:r w:rsidRPr="004C7CB4">
        <w:rPr>
          <w:rFonts w:ascii="Courier New" w:hAnsi="Courier New" w:cs="Courier New"/>
        </w:rPr>
        <w:t>")</w:t>
      </w:r>
      <w:r w:rsidR="005C747B" w:rsidRPr="005C747B">
        <w:rPr>
          <w:rFonts w:ascii="Courier New" w:hAnsi="Courier New" w:cs="Courier New"/>
        </w:rPr>
        <w:tab/>
      </w:r>
    </w:p>
    <w:p w:rsidR="00C649AA" w:rsidRPr="005C747B" w:rsidRDefault="00592322" w:rsidP="00592322">
      <w:pPr>
        <w:rPr>
          <w:rFonts w:ascii="Courier New" w:hAnsi="Courier New" w:cs="Courier New"/>
        </w:rPr>
      </w:pPr>
      <w:proofErr w:type="spellStart"/>
      <w:proofErr w:type="gramStart"/>
      <w:r w:rsidRPr="005C747B">
        <w:rPr>
          <w:rFonts w:ascii="Courier New" w:hAnsi="Courier New" w:cs="Courier New"/>
        </w:rPr>
        <w:t>dosresmeta</w:t>
      </w:r>
      <w:proofErr w:type="spellEnd"/>
      <w:r w:rsidRPr="005C747B">
        <w:rPr>
          <w:rFonts w:ascii="Courier New" w:hAnsi="Courier New" w:cs="Courier New"/>
        </w:rPr>
        <w:t>(</w:t>
      </w:r>
      <w:proofErr w:type="gramEnd"/>
      <w:r w:rsidRPr="005C747B">
        <w:rPr>
          <w:rFonts w:ascii="Courier New" w:hAnsi="Courier New" w:cs="Courier New"/>
        </w:rPr>
        <w:t>formula,</w:t>
      </w:r>
      <w:r w:rsidR="00B57049">
        <w:rPr>
          <w:rFonts w:ascii="Courier New" w:hAnsi="Courier New" w:cs="Courier New"/>
        </w:rPr>
        <w:t xml:space="preserve"> </w:t>
      </w:r>
      <w:r w:rsidRPr="005C747B">
        <w:rPr>
          <w:rFonts w:ascii="Courier New" w:hAnsi="Courier New" w:cs="Courier New"/>
        </w:rPr>
        <w:t xml:space="preserve">type, v, </w:t>
      </w:r>
      <w:r w:rsidR="00A3118B">
        <w:rPr>
          <w:rFonts w:ascii="Courier New" w:hAnsi="Courier New" w:cs="Courier New"/>
        </w:rPr>
        <w:t xml:space="preserve">se, lb, </w:t>
      </w:r>
      <w:proofErr w:type="spellStart"/>
      <w:r w:rsidR="00A3118B">
        <w:rPr>
          <w:rFonts w:ascii="Courier New" w:hAnsi="Courier New" w:cs="Courier New"/>
        </w:rPr>
        <w:t>ub</w:t>
      </w:r>
      <w:proofErr w:type="spellEnd"/>
      <w:r w:rsidR="00A3118B">
        <w:rPr>
          <w:rFonts w:ascii="Courier New" w:hAnsi="Courier New" w:cs="Courier New"/>
        </w:rPr>
        <w:t xml:space="preserve">, </w:t>
      </w:r>
      <w:r w:rsidRPr="005C747B">
        <w:rPr>
          <w:rFonts w:ascii="Courier New" w:hAnsi="Courier New" w:cs="Courier New"/>
        </w:rPr>
        <w:t>cases, n, data)</w:t>
      </w:r>
    </w:p>
    <w:p w:rsidR="00592322" w:rsidRPr="005C747B" w:rsidRDefault="00592322" w:rsidP="00592322">
      <w:pPr>
        <w:rPr>
          <w:rFonts w:ascii="Calibri" w:hAnsi="Calibri" w:cs="Arial"/>
        </w:rPr>
      </w:pPr>
    </w:p>
    <w:p w:rsidR="00592322" w:rsidRPr="005C747B" w:rsidRDefault="00592322" w:rsidP="00592322">
      <w:pPr>
        <w:rPr>
          <w:rFonts w:ascii="Calibri" w:hAnsi="Calibri" w:cs="Arial"/>
        </w:rPr>
      </w:pPr>
      <w:proofErr w:type="gramStart"/>
      <w:r w:rsidRPr="005C747B">
        <w:rPr>
          <w:rFonts w:ascii="Calibri" w:hAnsi="Calibri" w:cs="Arial"/>
        </w:rPr>
        <w:t>where</w:t>
      </w:r>
      <w:proofErr w:type="gramEnd"/>
    </w:p>
    <w:p w:rsidR="00592322" w:rsidRPr="005C747B" w:rsidRDefault="00592322" w:rsidP="00592322">
      <w:pPr>
        <w:rPr>
          <w:rFonts w:ascii="Calibri" w:hAnsi="Calibri" w:cs="Arial"/>
        </w:rPr>
      </w:pPr>
      <w:proofErr w:type="gramStart"/>
      <w:r w:rsidRPr="005C747B">
        <w:rPr>
          <w:rFonts w:ascii="Courier New" w:hAnsi="Courier New" w:cs="Courier New"/>
        </w:rPr>
        <w:t>formula</w:t>
      </w:r>
      <w:proofErr w:type="gramEnd"/>
      <w:r w:rsidR="00451A0A" w:rsidRPr="005C747B">
        <w:rPr>
          <w:rFonts w:ascii="Courier New" w:hAnsi="Courier New" w:cs="Courier New"/>
        </w:rPr>
        <w:t xml:space="preserve"> </w:t>
      </w:r>
      <w:r w:rsidR="00451A0A" w:rsidRPr="005C747B">
        <w:rPr>
          <w:rFonts w:ascii="Calibri" w:hAnsi="Calibri" w:cs="Arial"/>
        </w:rPr>
        <w:t>i</w:t>
      </w:r>
      <w:r w:rsidRPr="005C747B">
        <w:rPr>
          <w:rFonts w:ascii="Calibri" w:hAnsi="Calibri" w:cs="Arial"/>
        </w:rPr>
        <w:t xml:space="preserve">s the relationship between the outcome and the </w:t>
      </w:r>
      <w:r w:rsidR="00980999">
        <w:rPr>
          <w:rFonts w:ascii="Calibri" w:hAnsi="Calibri" w:cs="Arial"/>
        </w:rPr>
        <w:t>exposure</w:t>
      </w:r>
      <w:r w:rsidR="004216B9">
        <w:rPr>
          <w:rFonts w:ascii="Calibri" w:hAnsi="Calibri" w:cs="Arial"/>
        </w:rPr>
        <w:t xml:space="preserve"> (dose)</w:t>
      </w:r>
    </w:p>
    <w:p w:rsidR="00451A0A" w:rsidRPr="005C747B" w:rsidRDefault="00592322" w:rsidP="00592322">
      <w:pPr>
        <w:rPr>
          <w:rFonts w:ascii="Calibri" w:hAnsi="Calibri" w:cs="Arial"/>
        </w:rPr>
      </w:pPr>
      <w:proofErr w:type="gramStart"/>
      <w:r w:rsidRPr="005C747B">
        <w:rPr>
          <w:rFonts w:ascii="Courier New" w:hAnsi="Courier New" w:cs="Courier New"/>
        </w:rPr>
        <w:t>type</w:t>
      </w:r>
      <w:proofErr w:type="gramEnd"/>
      <w:r w:rsidRPr="005C747B">
        <w:rPr>
          <w:rFonts w:ascii="Calibri" w:hAnsi="Calibri" w:cs="Arial"/>
        </w:rPr>
        <w:t xml:space="preserve"> </w:t>
      </w:r>
      <w:r w:rsidR="00451A0A" w:rsidRPr="005C747B">
        <w:rPr>
          <w:rFonts w:ascii="Calibri" w:hAnsi="Calibri" w:cs="Arial"/>
        </w:rPr>
        <w:t>i</w:t>
      </w:r>
      <w:r w:rsidRPr="005C747B">
        <w:rPr>
          <w:rFonts w:ascii="Calibri" w:hAnsi="Calibri" w:cs="Arial"/>
        </w:rPr>
        <w:t>s the code for the study design – “cc” for case control data, “</w:t>
      </w:r>
      <w:proofErr w:type="spellStart"/>
      <w:r w:rsidRPr="005C747B">
        <w:rPr>
          <w:rFonts w:ascii="Calibri" w:hAnsi="Calibri" w:cs="Arial"/>
        </w:rPr>
        <w:t>ir</w:t>
      </w:r>
      <w:proofErr w:type="spellEnd"/>
      <w:r w:rsidRPr="005C747B">
        <w:rPr>
          <w:rFonts w:ascii="Calibri" w:hAnsi="Calibri" w:cs="Arial"/>
        </w:rPr>
        <w:t>” for incidence rate data and “ci” for cumulative incidence data.</w:t>
      </w:r>
    </w:p>
    <w:p w:rsidR="00451A0A" w:rsidRPr="005C747B" w:rsidRDefault="00451A0A" w:rsidP="00592322">
      <w:pPr>
        <w:rPr>
          <w:rFonts w:ascii="Calibri" w:hAnsi="Calibri" w:cs="Arial"/>
        </w:rPr>
      </w:pPr>
      <w:r w:rsidRPr="005C747B">
        <w:rPr>
          <w:rFonts w:ascii="Calibri" w:hAnsi="Calibri" w:cs="Arial"/>
        </w:rPr>
        <w:t xml:space="preserve">Either use </w:t>
      </w:r>
      <w:r w:rsidRPr="005C747B">
        <w:rPr>
          <w:rFonts w:ascii="Courier New" w:hAnsi="Courier New" w:cs="Courier New"/>
        </w:rPr>
        <w:t>v</w:t>
      </w:r>
      <w:r w:rsidRPr="005C747B">
        <w:rPr>
          <w:rFonts w:ascii="Calibri" w:hAnsi="Calibri" w:cs="Arial"/>
        </w:rPr>
        <w:t>, for the variance of the log hazard ratio (odds ratio or relative risks)</w:t>
      </w:r>
      <w:r w:rsidR="00B57049">
        <w:rPr>
          <w:rFonts w:ascii="Calibri" w:hAnsi="Calibri" w:cs="Arial"/>
        </w:rPr>
        <w:t xml:space="preserve"> or the corresponding standard error in </w:t>
      </w:r>
      <w:r w:rsidRPr="005C747B">
        <w:rPr>
          <w:rFonts w:ascii="Courier New" w:hAnsi="Courier New" w:cs="Courier New"/>
        </w:rPr>
        <w:t>se</w:t>
      </w:r>
      <w:r w:rsidRPr="005C747B">
        <w:rPr>
          <w:rFonts w:ascii="Calibri" w:hAnsi="Calibri" w:cs="Arial"/>
        </w:rPr>
        <w:t xml:space="preserve"> for the standard error, or </w:t>
      </w:r>
      <w:r w:rsidRPr="005C747B">
        <w:rPr>
          <w:rFonts w:ascii="Courier New" w:hAnsi="Courier New" w:cs="Courier New"/>
        </w:rPr>
        <w:t>lb</w:t>
      </w:r>
      <w:r w:rsidRPr="005C747B">
        <w:rPr>
          <w:rFonts w:ascii="Calibri" w:hAnsi="Calibri" w:cs="Arial"/>
        </w:rPr>
        <w:t xml:space="preserve"> and </w:t>
      </w:r>
      <w:proofErr w:type="spellStart"/>
      <w:r w:rsidRPr="005C747B">
        <w:rPr>
          <w:rFonts w:ascii="Courier New" w:hAnsi="Courier New" w:cs="Courier New"/>
        </w:rPr>
        <w:t>ub</w:t>
      </w:r>
      <w:proofErr w:type="spellEnd"/>
      <w:r w:rsidRPr="005C747B">
        <w:rPr>
          <w:rFonts w:ascii="Calibri" w:hAnsi="Calibri" w:cs="Arial"/>
        </w:rPr>
        <w:t xml:space="preserve"> for the limits of the confidence interval.</w:t>
      </w:r>
    </w:p>
    <w:p w:rsidR="00451A0A" w:rsidRPr="005C747B" w:rsidRDefault="00451A0A" w:rsidP="00451A0A">
      <w:pPr>
        <w:rPr>
          <w:rFonts w:ascii="Calibri" w:hAnsi="Calibri" w:cs="Arial"/>
        </w:rPr>
      </w:pPr>
      <w:proofErr w:type="gramStart"/>
      <w:r w:rsidRPr="005C747B">
        <w:rPr>
          <w:rFonts w:ascii="Courier New" w:hAnsi="Courier New" w:cs="Courier New"/>
        </w:rPr>
        <w:t>cases</w:t>
      </w:r>
      <w:proofErr w:type="gramEnd"/>
      <w:r w:rsidRPr="005C747B">
        <w:rPr>
          <w:rFonts w:ascii="Calibri" w:hAnsi="Calibri" w:cs="Arial"/>
        </w:rPr>
        <w:t xml:space="preserve"> is the number of events for incidence-rate and cumulative incidence data, and the number of subjects for case-control data.</w:t>
      </w:r>
    </w:p>
    <w:p w:rsidR="00451A0A" w:rsidRPr="005C747B" w:rsidRDefault="00451A0A" w:rsidP="00451A0A">
      <w:pPr>
        <w:rPr>
          <w:rFonts w:ascii="Calibri" w:hAnsi="Calibri" w:cs="Arial"/>
        </w:rPr>
      </w:pPr>
      <w:proofErr w:type="gramStart"/>
      <w:r w:rsidRPr="005C747B">
        <w:rPr>
          <w:rFonts w:ascii="Courier New" w:hAnsi="Courier New" w:cs="Courier New"/>
        </w:rPr>
        <w:t>n</w:t>
      </w:r>
      <w:proofErr w:type="gramEnd"/>
      <w:r w:rsidRPr="005C747B">
        <w:rPr>
          <w:rFonts w:ascii="Calibri" w:hAnsi="Calibri" w:cs="Arial"/>
        </w:rPr>
        <w:t xml:space="preserve"> is the number of person-years for incidence-rate data and the total number of subjects for cumulative incidence and case-control data.</w:t>
      </w:r>
    </w:p>
    <w:p w:rsidR="00451A0A" w:rsidRPr="005C747B" w:rsidRDefault="00451A0A" w:rsidP="00592322">
      <w:pPr>
        <w:rPr>
          <w:rFonts w:ascii="Calibri" w:hAnsi="Calibri" w:cs="Arial"/>
        </w:rPr>
      </w:pPr>
      <w:proofErr w:type="gramStart"/>
      <w:r w:rsidRPr="005C747B">
        <w:rPr>
          <w:rFonts w:ascii="Courier New" w:hAnsi="Courier New" w:cs="Courier New"/>
        </w:rPr>
        <w:t>data</w:t>
      </w:r>
      <w:proofErr w:type="gramEnd"/>
      <w:r w:rsidRPr="005C747B">
        <w:rPr>
          <w:rFonts w:ascii="Calibri" w:hAnsi="Calibri" w:cs="Arial"/>
        </w:rPr>
        <w:t xml:space="preserve"> </w:t>
      </w:r>
      <w:r w:rsidR="00471F96">
        <w:rPr>
          <w:rFonts w:ascii="Calibri" w:hAnsi="Calibri" w:cs="Arial"/>
        </w:rPr>
        <w:t>is</w:t>
      </w:r>
      <w:r w:rsidRPr="005C747B">
        <w:rPr>
          <w:rFonts w:ascii="Calibri" w:hAnsi="Calibri" w:cs="Arial"/>
        </w:rPr>
        <w:t xml:space="preserve"> the data</w:t>
      </w:r>
      <w:r w:rsidR="00471F96">
        <w:rPr>
          <w:rFonts w:ascii="Calibri" w:hAnsi="Calibri" w:cs="Arial"/>
        </w:rPr>
        <w:t xml:space="preserve"> file</w:t>
      </w:r>
      <w:r w:rsidR="005C747B">
        <w:rPr>
          <w:rFonts w:ascii="Calibri" w:hAnsi="Calibri" w:cs="Arial"/>
        </w:rPr>
        <w:t>.</w:t>
      </w:r>
      <w:r w:rsidRPr="005C747B">
        <w:rPr>
          <w:rFonts w:ascii="Calibri" w:hAnsi="Calibri" w:cs="Arial"/>
        </w:rPr>
        <w:t xml:space="preserve"> </w:t>
      </w:r>
    </w:p>
    <w:p w:rsidR="00592322" w:rsidRPr="00592322" w:rsidRDefault="00592322" w:rsidP="00592322">
      <w:pPr>
        <w:rPr>
          <w:rFonts w:ascii="Arial" w:hAnsi="Arial" w:cs="Arial"/>
          <w:i/>
        </w:rPr>
      </w:pPr>
    </w:p>
    <w:p w:rsidR="00A3479B" w:rsidRPr="00A3479B" w:rsidRDefault="00A3479B" w:rsidP="00A3479B">
      <w:pPr>
        <w:pStyle w:val="ListParagraph"/>
        <w:numPr>
          <w:ilvl w:val="0"/>
          <w:numId w:val="9"/>
        </w:numPr>
        <w:rPr>
          <w:b/>
          <w:i/>
        </w:rPr>
      </w:pPr>
      <w:r w:rsidRPr="00A3479B">
        <w:rPr>
          <w:b/>
          <w:i/>
        </w:rPr>
        <w:t>Calculate the linear trend</w:t>
      </w:r>
    </w:p>
    <w:p w:rsidR="00C22C9B" w:rsidRDefault="009930CE" w:rsidP="00FC6B8A">
      <w:r>
        <w:t xml:space="preserve">Because </w:t>
      </w:r>
      <w:r w:rsidR="004D4E2C">
        <w:t xml:space="preserve">log-transformed </w:t>
      </w:r>
      <w:r>
        <w:t xml:space="preserve">data </w:t>
      </w:r>
      <w:r w:rsidR="00E23978">
        <w:t xml:space="preserve">were analysed </w:t>
      </w:r>
      <w:r>
        <w:t>it</w:t>
      </w:r>
      <w:r w:rsidR="00C07804">
        <w:t>’</w:t>
      </w:r>
      <w:r>
        <w:t xml:space="preserve">s necessary to </w:t>
      </w:r>
      <w:proofErr w:type="spellStart"/>
      <w:r>
        <w:t>e</w:t>
      </w:r>
      <w:r w:rsidR="00A3479B">
        <w:t>xpo</w:t>
      </w:r>
      <w:r w:rsidR="00C50BFC">
        <w:t>n</w:t>
      </w:r>
      <w:r w:rsidR="00A3479B">
        <w:t>entiate</w:t>
      </w:r>
      <w:proofErr w:type="spellEnd"/>
      <w:r w:rsidR="00C07804">
        <w:t xml:space="preserve"> (back-log transform)</w:t>
      </w:r>
      <w:r w:rsidR="00A3479B">
        <w:t xml:space="preserve"> </w:t>
      </w:r>
      <w:r>
        <w:t>the output to calculate the hazard ratio (relative risk or odds ratio) on the continuous scale</w:t>
      </w:r>
      <w:r w:rsidR="00FB131D">
        <w:t>. Y</w:t>
      </w:r>
      <w:r w:rsidR="00980999">
        <w:t xml:space="preserve">ou may </w:t>
      </w:r>
      <w:r w:rsidR="00B8379D">
        <w:t xml:space="preserve">also </w:t>
      </w:r>
      <w:r w:rsidR="00980999">
        <w:t>want t</w:t>
      </w:r>
      <w:r w:rsidR="00FB131D">
        <w:t>o</w:t>
      </w:r>
      <w:r w:rsidR="00980999">
        <w:t xml:space="preserve"> rescale to a specified change in the exposure variable.</w:t>
      </w:r>
      <w:r w:rsidR="00B8379D">
        <w:t xml:space="preserve"> Both </w:t>
      </w:r>
      <w:r w:rsidR="00C22C9B">
        <w:t xml:space="preserve">may be achieved by using the </w:t>
      </w:r>
      <w:proofErr w:type="spellStart"/>
      <w:r w:rsidR="00C22C9B" w:rsidRPr="005C747B">
        <w:rPr>
          <w:rFonts w:ascii="Courier New" w:hAnsi="Courier New" w:cs="Courier New"/>
        </w:rPr>
        <w:t>lincom</w:t>
      </w:r>
      <w:proofErr w:type="spellEnd"/>
      <w:r w:rsidR="00C22C9B">
        <w:t xml:space="preserve"> command in STATA </w:t>
      </w:r>
      <w:r w:rsidR="00FB131D">
        <w:t>or</w:t>
      </w:r>
      <w:r w:rsidR="00C22C9B">
        <w:t xml:space="preserve"> the </w:t>
      </w:r>
      <w:r w:rsidR="00C22C9B" w:rsidRPr="005C747B">
        <w:rPr>
          <w:rFonts w:ascii="Courier New" w:hAnsi="Courier New" w:cs="Courier New"/>
        </w:rPr>
        <w:t>predict</w:t>
      </w:r>
      <w:r w:rsidR="00C22C9B">
        <w:t xml:space="preserve"> command in R.</w:t>
      </w:r>
    </w:p>
    <w:p w:rsidR="00E97673" w:rsidRDefault="00E97673" w:rsidP="00C94A37">
      <w:r>
        <w:rPr>
          <w:rFonts w:ascii="Times New Roman" w:hAnsi="Times New Roman" w:cs="Times New Roman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224155</wp:posOffset>
                </wp:positionV>
                <wp:extent cx="3139440" cy="2072640"/>
                <wp:effectExtent l="0" t="0" r="22860" b="22860"/>
                <wp:wrapNone/>
                <wp:docPr id="3" name="Vertic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207264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FAD" w:rsidRDefault="00E97673" w:rsidP="00E97673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Here’s a tip…</w:t>
                            </w:r>
                          </w:p>
                          <w:p w:rsidR="00E97673" w:rsidRDefault="009930CE" w:rsidP="00E97673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There</w:t>
                            </w:r>
                            <w:r w:rsidR="00C07804">
                              <w:rPr>
                                <w:i/>
                                <w:color w:val="000000" w:themeColor="text1"/>
                              </w:rPr>
                              <w:t>’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s a </w:t>
                            </w:r>
                            <w:r w:rsidR="005C4BFF">
                              <w:rPr>
                                <w:i/>
                                <w:color w:val="000000" w:themeColor="text1"/>
                              </w:rPr>
                              <w:t xml:space="preserve">trend estimation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method </w:t>
                            </w:r>
                            <w:r w:rsidR="00157512">
                              <w:rPr>
                                <w:i/>
                                <w:color w:val="000000" w:themeColor="text1"/>
                              </w:rPr>
                              <w:t xml:space="preserve">which </w:t>
                            </w:r>
                            <w:r w:rsidR="005C4BFF">
                              <w:rPr>
                                <w:i/>
                                <w:color w:val="000000" w:themeColor="text1"/>
                              </w:rPr>
                              <w:t>summarise</w:t>
                            </w:r>
                            <w:r w:rsidR="00157512">
                              <w:rPr>
                                <w:i/>
                                <w:color w:val="000000" w:themeColor="text1"/>
                              </w:rPr>
                              <w:t>s</w:t>
                            </w:r>
                            <w:r w:rsidR="005C1FAD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AA76AE">
                              <w:rPr>
                                <w:i/>
                                <w:color w:val="000000" w:themeColor="text1"/>
                              </w:rPr>
                              <w:t>categorical (quantile or dose-response)</w:t>
                            </w:r>
                            <w:r w:rsidR="005C1FAD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AA76AE">
                              <w:rPr>
                                <w:i/>
                                <w:color w:val="000000" w:themeColor="text1"/>
                              </w:rPr>
                              <w:t xml:space="preserve">risk </w:t>
                            </w:r>
                            <w:r w:rsidR="005C1FAD">
                              <w:rPr>
                                <w:i/>
                                <w:color w:val="000000" w:themeColor="text1"/>
                              </w:rPr>
                              <w:t>data</w:t>
                            </w:r>
                            <w:r w:rsidR="00157512">
                              <w:rPr>
                                <w:i/>
                                <w:color w:val="000000" w:themeColor="text1"/>
                              </w:rPr>
                              <w:t xml:space="preserve"> and code is available </w:t>
                            </w:r>
                            <w:r w:rsidR="00911606">
                              <w:rPr>
                                <w:i/>
                                <w:color w:val="000000" w:themeColor="text1"/>
                              </w:rPr>
                              <w:t xml:space="preserve">to implement the method in </w:t>
                            </w:r>
                            <w:r w:rsidR="00157512">
                              <w:rPr>
                                <w:i/>
                                <w:color w:val="000000" w:themeColor="text1"/>
                              </w:rPr>
                              <w:t>STATA, SAS and R.</w:t>
                            </w:r>
                            <w:r w:rsidR="00E97673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97673" w:rsidRDefault="00E97673" w:rsidP="00E976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3" o:spid="_x0000_s1026" type="#_x0000_t97" style="position:absolute;left:0;text-align:left;margin-left:0;margin-top:17.65pt;width:247.2pt;height:163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" fillcolor="#f7caac [1301]" strokecolor="#1f4d78 [1604]" strokeweight="1pt">
                <v:stroke joinstyle="miter"/>
                <v:textbox>
                  <w:txbxContent>
                    <w:p w:rsidR="005C1FAD" w:rsidRDefault="00E97673" w:rsidP="00E97673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Here’s a tip…</w:t>
                      </w:r>
                    </w:p>
                    <w:p w:rsidR="00E97673" w:rsidRDefault="009930CE" w:rsidP="00E97673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There</w:t>
                      </w:r>
                      <w:r w:rsidR="00C07804">
                        <w:rPr>
                          <w:i/>
                          <w:color w:val="000000" w:themeColor="text1"/>
                        </w:rPr>
                        <w:t>’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s a </w:t>
                      </w:r>
                      <w:r w:rsidR="005C4BFF">
                        <w:rPr>
                          <w:i/>
                          <w:color w:val="000000" w:themeColor="text1"/>
                        </w:rPr>
                        <w:t xml:space="preserve">trend estimation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method </w:t>
                      </w:r>
                      <w:r w:rsidR="00157512">
                        <w:rPr>
                          <w:i/>
                          <w:color w:val="000000" w:themeColor="text1"/>
                        </w:rPr>
                        <w:t xml:space="preserve">which </w:t>
                      </w:r>
                      <w:r w:rsidR="005C4BFF">
                        <w:rPr>
                          <w:i/>
                          <w:color w:val="000000" w:themeColor="text1"/>
                        </w:rPr>
                        <w:t>summarise</w:t>
                      </w:r>
                      <w:r w:rsidR="00157512">
                        <w:rPr>
                          <w:i/>
                          <w:color w:val="000000" w:themeColor="text1"/>
                        </w:rPr>
                        <w:t>s</w:t>
                      </w:r>
                      <w:r w:rsidR="005C1FAD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AA76AE">
                        <w:rPr>
                          <w:i/>
                          <w:color w:val="000000" w:themeColor="text1"/>
                        </w:rPr>
                        <w:t>categorical (quantile or dose-response)</w:t>
                      </w:r>
                      <w:r w:rsidR="005C1FAD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AA76AE">
                        <w:rPr>
                          <w:i/>
                          <w:color w:val="000000" w:themeColor="text1"/>
                        </w:rPr>
                        <w:t xml:space="preserve">risk </w:t>
                      </w:r>
                      <w:r w:rsidR="005C1FAD">
                        <w:rPr>
                          <w:i/>
                          <w:color w:val="000000" w:themeColor="text1"/>
                        </w:rPr>
                        <w:t>data</w:t>
                      </w:r>
                      <w:r w:rsidR="00157512">
                        <w:rPr>
                          <w:i/>
                          <w:color w:val="000000" w:themeColor="text1"/>
                        </w:rPr>
                        <w:t xml:space="preserve"> and code is available </w:t>
                      </w:r>
                      <w:r w:rsidR="00911606">
                        <w:rPr>
                          <w:i/>
                          <w:color w:val="000000" w:themeColor="text1"/>
                        </w:rPr>
                        <w:t xml:space="preserve">to implement the method in </w:t>
                      </w:r>
                      <w:bookmarkStart w:id="1" w:name="_GoBack"/>
                      <w:bookmarkEnd w:id="1"/>
                      <w:r w:rsidR="00157512">
                        <w:rPr>
                          <w:i/>
                          <w:color w:val="000000" w:themeColor="text1"/>
                        </w:rPr>
                        <w:t>STATA, SAS and R.</w:t>
                      </w:r>
                      <w:r w:rsidR="00E97673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</w:p>
                    <w:p w:rsidR="00E97673" w:rsidRDefault="00E97673" w:rsidP="00E9767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7673" w:rsidRDefault="00E97673" w:rsidP="00C94A37"/>
    <w:p w:rsidR="00E97673" w:rsidRDefault="00E97673" w:rsidP="00C94A37"/>
    <w:p w:rsidR="0020284E" w:rsidRDefault="0020284E" w:rsidP="00801468">
      <w:pPr>
        <w:rPr>
          <w:rFonts w:eastAsiaTheme="majorEastAsia" w:cstheme="majorBidi"/>
          <w:szCs w:val="24"/>
        </w:rPr>
      </w:pPr>
    </w:p>
    <w:p w:rsidR="0020284E" w:rsidRDefault="0020284E" w:rsidP="00801468">
      <w:pPr>
        <w:rPr>
          <w:rFonts w:eastAsiaTheme="majorEastAsia" w:cstheme="majorBidi"/>
          <w:szCs w:val="24"/>
        </w:rPr>
      </w:pPr>
    </w:p>
    <w:p w:rsidR="0020284E" w:rsidRDefault="0020284E" w:rsidP="00801468">
      <w:pPr>
        <w:rPr>
          <w:rFonts w:eastAsiaTheme="majorEastAsia" w:cstheme="majorBidi"/>
          <w:szCs w:val="24"/>
        </w:rPr>
      </w:pPr>
    </w:p>
    <w:p w:rsidR="0020284E" w:rsidRDefault="0020284E" w:rsidP="00801468">
      <w:pPr>
        <w:rPr>
          <w:rFonts w:eastAsiaTheme="majorEastAsia" w:cstheme="majorBidi"/>
          <w:szCs w:val="24"/>
        </w:rPr>
      </w:pPr>
    </w:p>
    <w:p w:rsidR="0020284E" w:rsidRDefault="0020284E" w:rsidP="00801468">
      <w:pPr>
        <w:rPr>
          <w:rFonts w:eastAsiaTheme="majorEastAsia" w:cstheme="majorBidi"/>
          <w:szCs w:val="24"/>
        </w:rPr>
      </w:pPr>
    </w:p>
    <w:p w:rsidR="0020284E" w:rsidRDefault="0020284E" w:rsidP="00801468">
      <w:pPr>
        <w:rPr>
          <w:rFonts w:eastAsiaTheme="majorEastAsia" w:cstheme="majorBidi"/>
          <w:szCs w:val="24"/>
        </w:rPr>
      </w:pPr>
    </w:p>
    <w:p w:rsidR="0020284E" w:rsidRDefault="0020284E" w:rsidP="00801468">
      <w:pPr>
        <w:rPr>
          <w:rFonts w:eastAsiaTheme="majorEastAsia" w:cstheme="majorBidi"/>
          <w:szCs w:val="24"/>
        </w:rPr>
      </w:pPr>
    </w:p>
    <w:p w:rsidR="0020284E" w:rsidRDefault="0020284E" w:rsidP="00801468">
      <w:pPr>
        <w:rPr>
          <w:rFonts w:eastAsiaTheme="majorEastAsia" w:cstheme="majorBidi"/>
          <w:szCs w:val="24"/>
        </w:rPr>
      </w:pPr>
    </w:p>
    <w:p w:rsidR="00A1684C" w:rsidRDefault="00A1684C" w:rsidP="00A1684C">
      <w:r>
        <w:t xml:space="preserve">In my next blog post I’ll show </w:t>
      </w:r>
      <w:r w:rsidR="00FB131D">
        <w:t xml:space="preserve">a </w:t>
      </w:r>
      <w:r>
        <w:t xml:space="preserve">worked example </w:t>
      </w:r>
      <w:r w:rsidR="00B6070C">
        <w:t>using</w:t>
      </w:r>
      <w:r w:rsidR="004C7CB4">
        <w:t xml:space="preserve"> the trend estimation in STATA.</w:t>
      </w:r>
      <w:r w:rsidR="009F0087">
        <w:t xml:space="preserve"> </w:t>
      </w:r>
    </w:p>
    <w:p w:rsidR="00FD7CC6" w:rsidRDefault="00FD7CC6" w:rsidP="00801468">
      <w:pPr>
        <w:rPr>
          <w:rFonts w:eastAsiaTheme="majorEastAsia" w:cstheme="majorBidi"/>
          <w:szCs w:val="24"/>
        </w:rPr>
      </w:pPr>
    </w:p>
    <w:p w:rsidR="00DF5A72" w:rsidRDefault="00492259" w:rsidP="00801468">
      <w:pPr>
        <w:rPr>
          <w:rFonts w:asciiTheme="majorHAnsi" w:eastAsiaTheme="majorEastAsia" w:hAnsiTheme="majorHAnsi" w:cstheme="majorBidi"/>
          <w:i/>
          <w:szCs w:val="24"/>
        </w:rPr>
      </w:pPr>
      <w:r>
        <w:rPr>
          <w:rFonts w:asciiTheme="majorHAnsi" w:eastAsiaTheme="majorEastAsia" w:hAnsiTheme="majorHAnsi" w:cstheme="majorBidi"/>
          <w:i/>
          <w:szCs w:val="24"/>
        </w:rPr>
        <w:t>Technical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A26B83" w:rsidTr="00D741EF">
        <w:tc>
          <w:tcPr>
            <w:tcW w:w="1838" w:type="dxa"/>
          </w:tcPr>
          <w:p w:rsidR="00A26B83" w:rsidRDefault="00A26B83" w:rsidP="00801468">
            <w:pPr>
              <w:rPr>
                <w:rFonts w:asciiTheme="majorHAnsi" w:eastAsiaTheme="majorEastAsia" w:hAnsiTheme="majorHAnsi" w:cstheme="majorBidi"/>
                <w:i/>
                <w:szCs w:val="24"/>
              </w:rPr>
            </w:pPr>
            <w:r>
              <w:rPr>
                <w:rFonts w:eastAsiaTheme="majorEastAsia" w:cstheme="majorBidi"/>
                <w:szCs w:val="24"/>
              </w:rPr>
              <w:t>Correlation</w:t>
            </w:r>
          </w:p>
        </w:tc>
        <w:tc>
          <w:tcPr>
            <w:tcW w:w="7790" w:type="dxa"/>
          </w:tcPr>
          <w:p w:rsidR="00A26B83" w:rsidRDefault="00A26B83" w:rsidP="00391494">
            <w:pPr>
              <w:rPr>
                <w:rFonts w:asciiTheme="majorHAnsi" w:eastAsiaTheme="majorEastAsia" w:hAnsiTheme="majorHAnsi" w:cstheme="majorBidi"/>
                <w:i/>
                <w:szCs w:val="24"/>
              </w:rPr>
            </w:pPr>
            <w:r>
              <w:rPr>
                <w:rFonts w:eastAsiaTheme="majorEastAsia" w:cstheme="majorBidi"/>
                <w:szCs w:val="24"/>
              </w:rPr>
              <w:t xml:space="preserve">A measure of linear association between </w:t>
            </w:r>
            <w:r w:rsidR="00391494">
              <w:rPr>
                <w:rFonts w:eastAsiaTheme="majorEastAsia" w:cstheme="majorBidi"/>
                <w:szCs w:val="24"/>
              </w:rPr>
              <w:t>two</w:t>
            </w:r>
            <w:r>
              <w:rPr>
                <w:rFonts w:eastAsiaTheme="majorEastAsia" w:cstheme="majorBidi"/>
                <w:szCs w:val="24"/>
              </w:rPr>
              <w:t xml:space="preserve"> </w:t>
            </w:r>
            <w:r w:rsidR="00937871">
              <w:rPr>
                <w:rFonts w:eastAsiaTheme="majorEastAsia" w:cstheme="majorBidi"/>
                <w:szCs w:val="24"/>
              </w:rPr>
              <w:t xml:space="preserve">continuous </w:t>
            </w:r>
            <w:r>
              <w:rPr>
                <w:rFonts w:eastAsiaTheme="majorEastAsia" w:cstheme="majorBidi"/>
                <w:szCs w:val="24"/>
              </w:rPr>
              <w:t>variables. Not to be confused with causation</w:t>
            </w:r>
            <w:r w:rsidR="00953596">
              <w:rPr>
                <w:rFonts w:eastAsiaTheme="majorEastAsia" w:cstheme="majorBidi"/>
                <w:szCs w:val="24"/>
              </w:rPr>
              <w:t>, which indicates that there is a causal relationship between the two variables (one causes the other)</w:t>
            </w:r>
            <w:r w:rsidR="00391494">
              <w:rPr>
                <w:rFonts w:eastAsiaTheme="majorEastAsia" w:cstheme="majorBidi"/>
                <w:szCs w:val="24"/>
              </w:rPr>
              <w:t>.</w:t>
            </w:r>
          </w:p>
        </w:tc>
      </w:tr>
      <w:tr w:rsidR="00A26B83" w:rsidTr="00D741EF">
        <w:tc>
          <w:tcPr>
            <w:tcW w:w="1838" w:type="dxa"/>
          </w:tcPr>
          <w:p w:rsidR="00A26B83" w:rsidRDefault="00A26B83" w:rsidP="00801468">
            <w:pPr>
              <w:rPr>
                <w:rFonts w:asciiTheme="majorHAnsi" w:eastAsiaTheme="majorEastAsia" w:hAnsiTheme="majorHAnsi" w:cstheme="majorBidi"/>
                <w:i/>
                <w:szCs w:val="24"/>
              </w:rPr>
            </w:pPr>
            <w:r>
              <w:rPr>
                <w:rFonts w:eastAsiaTheme="majorEastAsia" w:cstheme="majorBidi"/>
                <w:szCs w:val="24"/>
              </w:rPr>
              <w:t>Dependent variable</w:t>
            </w:r>
          </w:p>
        </w:tc>
        <w:tc>
          <w:tcPr>
            <w:tcW w:w="7790" w:type="dxa"/>
          </w:tcPr>
          <w:p w:rsidR="00A26B83" w:rsidRDefault="00A26B83" w:rsidP="00937871">
            <w:pPr>
              <w:rPr>
                <w:rFonts w:asciiTheme="majorHAnsi" w:eastAsiaTheme="majorEastAsia" w:hAnsiTheme="majorHAnsi" w:cstheme="majorBidi"/>
                <w:i/>
                <w:szCs w:val="24"/>
              </w:rPr>
            </w:pPr>
            <w:r>
              <w:rPr>
                <w:rFonts w:eastAsiaTheme="majorEastAsia" w:cstheme="majorBidi"/>
                <w:szCs w:val="24"/>
              </w:rPr>
              <w:t>In regression</w:t>
            </w:r>
            <w:r w:rsidR="00953596">
              <w:rPr>
                <w:rFonts w:eastAsiaTheme="majorEastAsia" w:cstheme="majorBidi"/>
                <w:szCs w:val="24"/>
              </w:rPr>
              <w:t>,</w:t>
            </w:r>
            <w:r>
              <w:rPr>
                <w:rFonts w:eastAsiaTheme="majorEastAsia" w:cstheme="majorBidi"/>
                <w:szCs w:val="24"/>
              </w:rPr>
              <w:t xml:space="preserve"> it</w:t>
            </w:r>
            <w:r w:rsidR="00937871">
              <w:rPr>
                <w:rFonts w:eastAsiaTheme="majorEastAsia" w:cstheme="majorBidi"/>
                <w:szCs w:val="24"/>
              </w:rPr>
              <w:t>’</w:t>
            </w:r>
            <w:r>
              <w:rPr>
                <w:rFonts w:eastAsiaTheme="majorEastAsia" w:cstheme="majorBidi"/>
                <w:szCs w:val="24"/>
              </w:rPr>
              <w:t xml:space="preserve">s </w:t>
            </w:r>
            <w:r>
              <w:t xml:space="preserve">the variable </w:t>
            </w:r>
            <w:r w:rsidR="00937871">
              <w:t xml:space="preserve">which is </w:t>
            </w:r>
            <w:r>
              <w:t xml:space="preserve">supposed to be explained </w:t>
            </w:r>
            <w:r w:rsidR="00953596">
              <w:t xml:space="preserve">(or predicted) </w:t>
            </w:r>
            <w:r>
              <w:t>by changes in the other variable(s)</w:t>
            </w:r>
            <w:r w:rsidR="00953596">
              <w:t>. Also known as a response variable or outcome.</w:t>
            </w:r>
          </w:p>
        </w:tc>
      </w:tr>
      <w:tr w:rsidR="00A26B83" w:rsidTr="00D741EF">
        <w:tc>
          <w:tcPr>
            <w:tcW w:w="1838" w:type="dxa"/>
          </w:tcPr>
          <w:p w:rsidR="00A26B83" w:rsidRDefault="00A26B83" w:rsidP="00801468">
            <w:pPr>
              <w:rPr>
                <w:rFonts w:asciiTheme="majorHAnsi" w:eastAsiaTheme="majorEastAsia" w:hAnsiTheme="majorHAnsi" w:cstheme="majorBidi"/>
                <w:i/>
                <w:szCs w:val="24"/>
              </w:rPr>
            </w:pPr>
            <w:r>
              <w:rPr>
                <w:rFonts w:eastAsiaTheme="majorEastAsia" w:cstheme="majorBidi"/>
                <w:szCs w:val="24"/>
              </w:rPr>
              <w:t>Independent variable</w:t>
            </w:r>
          </w:p>
        </w:tc>
        <w:tc>
          <w:tcPr>
            <w:tcW w:w="7790" w:type="dxa"/>
          </w:tcPr>
          <w:p w:rsidR="00A26B83" w:rsidRDefault="00A26B83" w:rsidP="00937871">
            <w:pPr>
              <w:rPr>
                <w:rFonts w:asciiTheme="majorHAnsi" w:eastAsiaTheme="majorEastAsia" w:hAnsiTheme="majorHAnsi" w:cstheme="majorBidi"/>
                <w:i/>
                <w:szCs w:val="24"/>
              </w:rPr>
            </w:pPr>
            <w:r>
              <w:rPr>
                <w:rFonts w:eastAsiaTheme="majorEastAsia" w:cstheme="majorBidi"/>
                <w:szCs w:val="24"/>
              </w:rPr>
              <w:t>In regression, it</w:t>
            </w:r>
            <w:r w:rsidR="00937871">
              <w:rPr>
                <w:rFonts w:eastAsiaTheme="majorEastAsia" w:cstheme="majorBidi"/>
                <w:szCs w:val="24"/>
              </w:rPr>
              <w:t>’</w:t>
            </w:r>
            <w:r>
              <w:rPr>
                <w:rFonts w:eastAsiaTheme="majorEastAsia" w:cstheme="majorBidi"/>
                <w:szCs w:val="24"/>
              </w:rPr>
              <w:t xml:space="preserve">s the variable that is supposed to explain </w:t>
            </w:r>
            <w:r w:rsidR="00937871">
              <w:rPr>
                <w:rFonts w:eastAsiaTheme="majorEastAsia" w:cstheme="majorBidi"/>
                <w:szCs w:val="24"/>
              </w:rPr>
              <w:t>t</w:t>
            </w:r>
            <w:r w:rsidR="00953596">
              <w:rPr>
                <w:rFonts w:eastAsiaTheme="majorEastAsia" w:cstheme="majorBidi"/>
                <w:szCs w:val="24"/>
              </w:rPr>
              <w:t xml:space="preserve">he </w:t>
            </w:r>
            <w:r>
              <w:rPr>
                <w:rFonts w:eastAsiaTheme="majorEastAsia" w:cstheme="majorBidi"/>
                <w:szCs w:val="24"/>
              </w:rPr>
              <w:t>dependent variable. Also known as an explanatory</w:t>
            </w:r>
            <w:r w:rsidR="00953596">
              <w:rPr>
                <w:rFonts w:eastAsiaTheme="majorEastAsia" w:cstheme="majorBidi"/>
                <w:szCs w:val="24"/>
              </w:rPr>
              <w:t>, predictor or exposure variable, or risk factor.</w:t>
            </w:r>
          </w:p>
        </w:tc>
      </w:tr>
      <w:tr w:rsidR="00A26B83" w:rsidTr="00D741EF">
        <w:tc>
          <w:tcPr>
            <w:tcW w:w="1838" w:type="dxa"/>
          </w:tcPr>
          <w:p w:rsidR="00A26B83" w:rsidRPr="00604F45" w:rsidRDefault="00C174D2" w:rsidP="00C174D2">
            <w:pPr>
              <w:rPr>
                <w:rFonts w:eastAsiaTheme="majorEastAsia" w:cstheme="majorBidi"/>
                <w:szCs w:val="24"/>
              </w:rPr>
            </w:pPr>
            <w:r>
              <w:rPr>
                <w:rFonts w:eastAsiaTheme="majorEastAsia" w:cstheme="majorBidi"/>
                <w:szCs w:val="24"/>
              </w:rPr>
              <w:t>Linear r</w:t>
            </w:r>
            <w:r w:rsidR="00A26B83" w:rsidRPr="00604F45">
              <w:rPr>
                <w:rFonts w:eastAsiaTheme="majorEastAsia" w:cstheme="majorBidi"/>
                <w:szCs w:val="24"/>
              </w:rPr>
              <w:t>egression</w:t>
            </w:r>
          </w:p>
        </w:tc>
        <w:tc>
          <w:tcPr>
            <w:tcW w:w="7790" w:type="dxa"/>
          </w:tcPr>
          <w:p w:rsidR="00A26B83" w:rsidRPr="00604F45" w:rsidRDefault="00C174D2" w:rsidP="00C174D2">
            <w:pPr>
              <w:rPr>
                <w:rFonts w:eastAsiaTheme="majorEastAsia" w:cstheme="majorBidi"/>
                <w:szCs w:val="24"/>
              </w:rPr>
            </w:pPr>
            <w:r>
              <w:rPr>
                <w:rFonts w:eastAsiaTheme="majorEastAsia" w:cstheme="majorBidi"/>
                <w:szCs w:val="24"/>
              </w:rPr>
              <w:t>Linear r</w:t>
            </w:r>
            <w:r w:rsidR="003C7C5E">
              <w:rPr>
                <w:rFonts w:eastAsiaTheme="majorEastAsia" w:cstheme="majorBidi"/>
                <w:szCs w:val="24"/>
              </w:rPr>
              <w:t xml:space="preserve">egression is used to estimate </w:t>
            </w:r>
            <w:r>
              <w:rPr>
                <w:rFonts w:eastAsiaTheme="majorEastAsia" w:cstheme="majorBidi"/>
                <w:szCs w:val="24"/>
              </w:rPr>
              <w:t>the linear</w:t>
            </w:r>
            <w:r w:rsidR="003C7C5E">
              <w:rPr>
                <w:rFonts w:eastAsiaTheme="majorEastAsia" w:cstheme="majorBidi"/>
                <w:szCs w:val="24"/>
              </w:rPr>
              <w:t xml:space="preserve"> relationship between a dependent variable and one independent variable (simple linear regression) or more than one independent variables (multiple </w:t>
            </w:r>
            <w:r>
              <w:rPr>
                <w:rFonts w:eastAsiaTheme="majorEastAsia" w:cstheme="majorBidi"/>
                <w:szCs w:val="24"/>
              </w:rPr>
              <w:t xml:space="preserve">linear </w:t>
            </w:r>
            <w:r w:rsidR="003C7C5E">
              <w:rPr>
                <w:rFonts w:eastAsiaTheme="majorEastAsia" w:cstheme="majorBidi"/>
                <w:szCs w:val="24"/>
              </w:rPr>
              <w:t xml:space="preserve">regression). The basic aim is to find a linear relationship that is provides the best summary of the data. </w:t>
            </w:r>
          </w:p>
        </w:tc>
      </w:tr>
      <w:tr w:rsidR="002D7FF8" w:rsidTr="00D741EF">
        <w:tc>
          <w:tcPr>
            <w:tcW w:w="1838" w:type="dxa"/>
          </w:tcPr>
          <w:p w:rsidR="002D7FF8" w:rsidRDefault="002D7FF8" w:rsidP="002D7FF8">
            <w:r>
              <w:t>L</w:t>
            </w:r>
            <w:r w:rsidRPr="004D6A35">
              <w:t xml:space="preserve">og-linear regression </w:t>
            </w:r>
            <w:r>
              <w:t>model</w:t>
            </w:r>
          </w:p>
        </w:tc>
        <w:tc>
          <w:tcPr>
            <w:tcW w:w="7790" w:type="dxa"/>
          </w:tcPr>
          <w:p w:rsidR="002D7FF8" w:rsidRDefault="002D7FF8" w:rsidP="00937871">
            <w:r>
              <w:t>This is a model which is a function which</w:t>
            </w:r>
            <w:r w:rsidR="00937871">
              <w:t>,</w:t>
            </w:r>
            <w:r>
              <w:t xml:space="preserve"> when </w:t>
            </w:r>
            <w:hyperlink r:id="rId14" w:history="1">
              <w:r w:rsidRPr="002D7FF8">
                <w:rPr>
                  <w:rStyle w:val="Hyperlink"/>
                </w:rPr>
                <w:t>logarithmically transformed</w:t>
              </w:r>
            </w:hyperlink>
            <w:r>
              <w:t>, becomes a linear combination of the parameters in the model so that it</w:t>
            </w:r>
            <w:r w:rsidR="003C7C5E">
              <w:t>’</w:t>
            </w:r>
            <w:r>
              <w:t xml:space="preserve">s possible to apply </w:t>
            </w:r>
            <w:r w:rsidR="00AB4268">
              <w:t xml:space="preserve">linear </w:t>
            </w:r>
            <w:r>
              <w:t>regression.</w:t>
            </w:r>
          </w:p>
        </w:tc>
      </w:tr>
      <w:tr w:rsidR="00A26B83" w:rsidTr="00D741EF">
        <w:tc>
          <w:tcPr>
            <w:tcW w:w="1838" w:type="dxa"/>
          </w:tcPr>
          <w:p w:rsidR="00A26B83" w:rsidRDefault="00A26B83" w:rsidP="00A26B83">
            <w:pPr>
              <w:rPr>
                <w:rFonts w:eastAsiaTheme="majorEastAsia" w:cstheme="majorBidi"/>
                <w:szCs w:val="24"/>
              </w:rPr>
            </w:pPr>
            <w:r>
              <w:rPr>
                <w:rFonts w:eastAsiaTheme="majorEastAsia" w:cstheme="majorBidi"/>
                <w:szCs w:val="24"/>
              </w:rPr>
              <w:t>Reference group</w:t>
            </w:r>
          </w:p>
          <w:p w:rsidR="00A26B83" w:rsidRDefault="00A26B83" w:rsidP="00801468">
            <w:pPr>
              <w:rPr>
                <w:rFonts w:asciiTheme="majorHAnsi" w:eastAsiaTheme="majorEastAsia" w:hAnsiTheme="majorHAnsi" w:cstheme="majorBidi"/>
                <w:i/>
                <w:szCs w:val="24"/>
              </w:rPr>
            </w:pPr>
          </w:p>
        </w:tc>
        <w:tc>
          <w:tcPr>
            <w:tcW w:w="7790" w:type="dxa"/>
          </w:tcPr>
          <w:p w:rsidR="00A26B83" w:rsidRPr="00D741EF" w:rsidRDefault="00604F45" w:rsidP="00937871">
            <w:pPr>
              <w:rPr>
                <w:rFonts w:eastAsiaTheme="majorEastAsia" w:cstheme="majorBidi"/>
                <w:szCs w:val="24"/>
              </w:rPr>
            </w:pPr>
            <w:r>
              <w:rPr>
                <w:rFonts w:eastAsiaTheme="majorEastAsia" w:cstheme="majorBidi"/>
                <w:szCs w:val="24"/>
              </w:rPr>
              <w:t xml:space="preserve">A reference group is a group to which other groups are compared. With risk data, </w:t>
            </w:r>
            <w:r w:rsidR="00640002">
              <w:rPr>
                <w:rFonts w:eastAsiaTheme="majorEastAsia" w:cstheme="majorBidi"/>
                <w:szCs w:val="24"/>
              </w:rPr>
              <w:t xml:space="preserve">the reference group is </w:t>
            </w:r>
            <w:r w:rsidR="00D741EF">
              <w:rPr>
                <w:rFonts w:eastAsiaTheme="majorEastAsia" w:cstheme="majorBidi"/>
                <w:szCs w:val="24"/>
              </w:rPr>
              <w:t xml:space="preserve">assigned a hazard ratio (relative risk or odds ratio) of 1. </w:t>
            </w:r>
            <w:r w:rsidR="00640002">
              <w:rPr>
                <w:rFonts w:eastAsiaTheme="majorEastAsia" w:cstheme="majorBidi"/>
                <w:szCs w:val="24"/>
              </w:rPr>
              <w:t>If the relative risk of another group is 1.4</w:t>
            </w:r>
            <w:r w:rsidR="00937871">
              <w:rPr>
                <w:rFonts w:eastAsiaTheme="majorEastAsia" w:cstheme="majorBidi"/>
                <w:szCs w:val="24"/>
              </w:rPr>
              <w:t>,</w:t>
            </w:r>
            <w:r w:rsidR="00640002">
              <w:rPr>
                <w:rFonts w:eastAsiaTheme="majorEastAsia" w:cstheme="majorBidi"/>
                <w:szCs w:val="24"/>
              </w:rPr>
              <w:t xml:space="preserve"> th</w:t>
            </w:r>
            <w:r w:rsidR="00937871">
              <w:rPr>
                <w:rFonts w:eastAsiaTheme="majorEastAsia" w:cstheme="majorBidi"/>
                <w:szCs w:val="24"/>
              </w:rPr>
              <w:t xml:space="preserve">is means that </w:t>
            </w:r>
            <w:r w:rsidR="009930CE">
              <w:rPr>
                <w:rFonts w:eastAsiaTheme="majorEastAsia" w:cstheme="majorBidi"/>
                <w:szCs w:val="24"/>
              </w:rPr>
              <w:t>this group has a 40% higher</w:t>
            </w:r>
            <w:r w:rsidR="00640002">
              <w:rPr>
                <w:rFonts w:eastAsiaTheme="majorEastAsia" w:cstheme="majorBidi"/>
                <w:szCs w:val="24"/>
              </w:rPr>
              <w:t xml:space="preserve"> risk than the reference group. If the relative risk of another group is 0.8</w:t>
            </w:r>
            <w:r w:rsidR="00937871">
              <w:rPr>
                <w:rFonts w:eastAsiaTheme="majorEastAsia" w:cstheme="majorBidi"/>
                <w:szCs w:val="24"/>
              </w:rPr>
              <w:t>,</w:t>
            </w:r>
            <w:r w:rsidR="00640002">
              <w:rPr>
                <w:rFonts w:eastAsiaTheme="majorEastAsia" w:cstheme="majorBidi"/>
                <w:szCs w:val="24"/>
              </w:rPr>
              <w:t xml:space="preserve"> </w:t>
            </w:r>
            <w:r w:rsidR="00937871">
              <w:rPr>
                <w:rFonts w:eastAsiaTheme="majorEastAsia" w:cstheme="majorBidi"/>
                <w:szCs w:val="24"/>
              </w:rPr>
              <w:t xml:space="preserve">it means that </w:t>
            </w:r>
            <w:r w:rsidR="00640002">
              <w:rPr>
                <w:rFonts w:eastAsiaTheme="majorEastAsia" w:cstheme="majorBidi"/>
                <w:szCs w:val="24"/>
              </w:rPr>
              <w:t xml:space="preserve">the group has </w:t>
            </w:r>
            <w:r w:rsidR="009930CE">
              <w:rPr>
                <w:rFonts w:eastAsiaTheme="majorEastAsia" w:cstheme="majorBidi"/>
                <w:szCs w:val="24"/>
              </w:rPr>
              <w:t>a 20% lower risk than the reference group.</w:t>
            </w:r>
          </w:p>
        </w:tc>
      </w:tr>
      <w:tr w:rsidR="00A26B83" w:rsidTr="00D741EF">
        <w:tc>
          <w:tcPr>
            <w:tcW w:w="1838" w:type="dxa"/>
          </w:tcPr>
          <w:p w:rsidR="00A26B83" w:rsidRDefault="00A26B83" w:rsidP="00A26B83">
            <w:pPr>
              <w:rPr>
                <w:rFonts w:eastAsiaTheme="majorEastAsia" w:cstheme="majorBidi"/>
                <w:szCs w:val="24"/>
              </w:rPr>
            </w:pPr>
            <w:r>
              <w:rPr>
                <w:rFonts w:eastAsiaTheme="majorEastAsia" w:cstheme="majorBidi"/>
                <w:szCs w:val="24"/>
              </w:rPr>
              <w:t>Residual</w:t>
            </w:r>
          </w:p>
        </w:tc>
        <w:tc>
          <w:tcPr>
            <w:tcW w:w="7790" w:type="dxa"/>
          </w:tcPr>
          <w:p w:rsidR="00A26B83" w:rsidRDefault="00A26B83" w:rsidP="00801468">
            <w:pPr>
              <w:rPr>
                <w:rFonts w:asciiTheme="majorHAnsi" w:eastAsiaTheme="majorEastAsia" w:hAnsiTheme="majorHAnsi" w:cstheme="majorBidi"/>
                <w:i/>
                <w:szCs w:val="24"/>
              </w:rPr>
            </w:pPr>
            <w:r>
              <w:rPr>
                <w:rFonts w:eastAsiaTheme="majorEastAsia" w:cstheme="majorBidi"/>
                <w:szCs w:val="24"/>
              </w:rPr>
              <w:t>The difference between a data point and the value predicted by a model. In linear regression, the residual is the vertical distance between the data point and the regression line.</w:t>
            </w:r>
          </w:p>
        </w:tc>
      </w:tr>
    </w:tbl>
    <w:p w:rsidR="00DF5A72" w:rsidRDefault="00A26B83" w:rsidP="00801468">
      <w:pPr>
        <w:rPr>
          <w:rFonts w:eastAsiaTheme="majorEastAsia" w:cstheme="majorBidi"/>
          <w:szCs w:val="24"/>
        </w:rPr>
      </w:pPr>
      <w:r>
        <w:rPr>
          <w:rFonts w:eastAsiaTheme="majorEastAsia" w:cstheme="majorBidi"/>
          <w:szCs w:val="24"/>
        </w:rPr>
        <w:t xml:space="preserve"> </w:t>
      </w:r>
    </w:p>
    <w:p w:rsidR="00BA76D0" w:rsidRPr="0013591A" w:rsidRDefault="00BA76D0" w:rsidP="00B95332">
      <w:pPr>
        <w:jc w:val="center"/>
        <w:rPr>
          <w:rFonts w:eastAsiaTheme="minorEastAsia"/>
          <w:sz w:val="28"/>
          <w:szCs w:val="28"/>
        </w:rPr>
      </w:pPr>
    </w:p>
    <w:p w:rsidR="00F61465" w:rsidRDefault="00F61465" w:rsidP="00F61465">
      <w:pPr>
        <w:jc w:val="left"/>
        <w:rPr>
          <w:b/>
        </w:rPr>
      </w:pPr>
      <w:r>
        <w:rPr>
          <w:b/>
        </w:rPr>
        <w:t xml:space="preserve">Dr Kathy Taylor teaches data extraction in Meta-analysis, </w:t>
      </w:r>
      <w:hyperlink r:id="rId15" w:history="1">
        <w:r w:rsidRPr="00444C0C">
          <w:rPr>
            <w:rStyle w:val="Hyperlink"/>
            <w:b/>
          </w:rPr>
          <w:t>https://www.conted.ox.ac.uk/courses/meta-analysis&lt;/link</w:t>
        </w:r>
      </w:hyperlink>
      <w:r>
        <w:rPr>
          <w:b/>
        </w:rPr>
        <w:t xml:space="preserve">&gt; </w:t>
      </w:r>
      <w:proofErr w:type="gramStart"/>
      <w:r>
        <w:rPr>
          <w:b/>
        </w:rPr>
        <w:t>This</w:t>
      </w:r>
      <w:proofErr w:type="gramEnd"/>
      <w:r>
        <w:rPr>
          <w:b/>
        </w:rPr>
        <w:t xml:space="preserve"> is a short course that is also available as part of our MSc in Evidence-Based Health Care </w:t>
      </w:r>
    </w:p>
    <w:p w:rsidR="00F61465" w:rsidRDefault="006979C6" w:rsidP="00F61465">
      <w:pPr>
        <w:jc w:val="left"/>
        <w:rPr>
          <w:b/>
        </w:rPr>
      </w:pPr>
      <w:hyperlink r:id="rId16" w:history="1">
        <w:r w:rsidR="00F61465" w:rsidRPr="00444C0C">
          <w:rPr>
            <w:rStyle w:val="Hyperlink"/>
            <w:b/>
          </w:rPr>
          <w:t>https://www.conted.ox.ac.uk/about/msc-in-evidence-based-health-care</w:t>
        </w:r>
      </w:hyperlink>
      <w:r w:rsidR="00F61465">
        <w:rPr>
          <w:b/>
        </w:rPr>
        <w:t xml:space="preserve">, MSc in Medical Statistics </w:t>
      </w:r>
    </w:p>
    <w:p w:rsidR="00F61465" w:rsidRDefault="006979C6" w:rsidP="00F61465">
      <w:pPr>
        <w:jc w:val="left"/>
        <w:rPr>
          <w:b/>
        </w:rPr>
      </w:pPr>
      <w:hyperlink r:id="rId17" w:history="1">
        <w:r w:rsidR="00F61465" w:rsidRPr="00444C0C">
          <w:rPr>
            <w:rStyle w:val="Hyperlink"/>
            <w:b/>
          </w:rPr>
          <w:t>https://www.conted.ox.ac.uk/about/msc-in-ebhc-medical-statistics</w:t>
        </w:r>
      </w:hyperlink>
      <w:r w:rsidR="00F61465">
        <w:rPr>
          <w:b/>
        </w:rPr>
        <w:t xml:space="preserve">, and MSc in Systematic Reviews </w:t>
      </w:r>
    </w:p>
    <w:p w:rsidR="00F61465" w:rsidRDefault="006979C6" w:rsidP="00F61465">
      <w:pPr>
        <w:jc w:val="left"/>
        <w:rPr>
          <w:b/>
        </w:rPr>
      </w:pPr>
      <w:hyperlink r:id="rId18" w:history="1">
        <w:r w:rsidR="00F61465" w:rsidRPr="00444C0C">
          <w:rPr>
            <w:rStyle w:val="Hyperlink"/>
            <w:b/>
          </w:rPr>
          <w:t>https://www.conted.ox.ac.uk/about/msc-in-ebhc-systematic-reviews</w:t>
        </w:r>
      </w:hyperlink>
    </w:p>
    <w:p w:rsidR="00F61465" w:rsidRDefault="00F61465" w:rsidP="00F61465">
      <w:pPr>
        <w:rPr>
          <w:b/>
        </w:rPr>
      </w:pPr>
    </w:p>
    <w:p w:rsidR="00F61465" w:rsidRPr="00430366" w:rsidRDefault="00F61465" w:rsidP="00F61465">
      <w:pPr>
        <w:rPr>
          <w:b/>
        </w:rPr>
      </w:pPr>
      <w:r>
        <w:rPr>
          <w:b/>
        </w:rPr>
        <w:t>Follow updates on this blog and related news on Twitter @</w:t>
      </w:r>
      <w:proofErr w:type="spellStart"/>
      <w:r>
        <w:rPr>
          <w:b/>
        </w:rPr>
        <w:t>dataextips</w:t>
      </w:r>
      <w:proofErr w:type="spellEnd"/>
    </w:p>
    <w:p w:rsidR="000F3DCD" w:rsidRDefault="000F3DCD" w:rsidP="00F61465"/>
    <w:sectPr w:rsidR="000F3DCD" w:rsidSect="00E714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DengXian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060E"/>
    <w:multiLevelType w:val="hybridMultilevel"/>
    <w:tmpl w:val="FD043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1220"/>
    <w:multiLevelType w:val="hybridMultilevel"/>
    <w:tmpl w:val="E7CE8B7C"/>
    <w:lvl w:ilvl="0" w:tplc="6C50D1B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D958F7"/>
    <w:multiLevelType w:val="hybridMultilevel"/>
    <w:tmpl w:val="76924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67AE1"/>
    <w:multiLevelType w:val="hybridMultilevel"/>
    <w:tmpl w:val="918AF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D39B5"/>
    <w:multiLevelType w:val="hybridMultilevel"/>
    <w:tmpl w:val="793682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420066"/>
    <w:multiLevelType w:val="hybridMultilevel"/>
    <w:tmpl w:val="11203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4751F"/>
    <w:multiLevelType w:val="hybridMultilevel"/>
    <w:tmpl w:val="FBE41A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1664E"/>
    <w:multiLevelType w:val="hybridMultilevel"/>
    <w:tmpl w:val="EE5AA662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D163E9"/>
    <w:multiLevelType w:val="hybridMultilevel"/>
    <w:tmpl w:val="4DF89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C0092"/>
    <w:multiLevelType w:val="hybridMultilevel"/>
    <w:tmpl w:val="C0A2A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A0"/>
    <w:rsid w:val="00007277"/>
    <w:rsid w:val="0000797F"/>
    <w:rsid w:val="00010602"/>
    <w:rsid w:val="000125E5"/>
    <w:rsid w:val="0002281F"/>
    <w:rsid w:val="00030E37"/>
    <w:rsid w:val="0003161B"/>
    <w:rsid w:val="0004354A"/>
    <w:rsid w:val="000502DA"/>
    <w:rsid w:val="00062810"/>
    <w:rsid w:val="00072FF1"/>
    <w:rsid w:val="00081903"/>
    <w:rsid w:val="000875BC"/>
    <w:rsid w:val="000A31E7"/>
    <w:rsid w:val="000A72C7"/>
    <w:rsid w:val="000C3186"/>
    <w:rsid w:val="000C5427"/>
    <w:rsid w:val="000D08E4"/>
    <w:rsid w:val="000D229D"/>
    <w:rsid w:val="000D6955"/>
    <w:rsid w:val="000E1D35"/>
    <w:rsid w:val="000E3293"/>
    <w:rsid w:val="000E725D"/>
    <w:rsid w:val="000F327C"/>
    <w:rsid w:val="000F3DCD"/>
    <w:rsid w:val="0011090E"/>
    <w:rsid w:val="001125AC"/>
    <w:rsid w:val="00112F97"/>
    <w:rsid w:val="001217CF"/>
    <w:rsid w:val="00131C6D"/>
    <w:rsid w:val="0013591A"/>
    <w:rsid w:val="00144D03"/>
    <w:rsid w:val="001475B0"/>
    <w:rsid w:val="00157512"/>
    <w:rsid w:val="00164538"/>
    <w:rsid w:val="00165841"/>
    <w:rsid w:val="00165953"/>
    <w:rsid w:val="00174147"/>
    <w:rsid w:val="0017670D"/>
    <w:rsid w:val="00197F74"/>
    <w:rsid w:val="001A2BE8"/>
    <w:rsid w:val="001A4AD0"/>
    <w:rsid w:val="001A5106"/>
    <w:rsid w:val="001A75D3"/>
    <w:rsid w:val="001B37DD"/>
    <w:rsid w:val="001B45DE"/>
    <w:rsid w:val="001B5AA9"/>
    <w:rsid w:val="001C09D5"/>
    <w:rsid w:val="001C1D89"/>
    <w:rsid w:val="001C4A6A"/>
    <w:rsid w:val="001D2705"/>
    <w:rsid w:val="001D30D1"/>
    <w:rsid w:val="001D7919"/>
    <w:rsid w:val="001F00A0"/>
    <w:rsid w:val="001F095B"/>
    <w:rsid w:val="001F0BA6"/>
    <w:rsid w:val="001F397C"/>
    <w:rsid w:val="001F7476"/>
    <w:rsid w:val="0020157D"/>
    <w:rsid w:val="0020284E"/>
    <w:rsid w:val="0021794F"/>
    <w:rsid w:val="0022029A"/>
    <w:rsid w:val="00226CC2"/>
    <w:rsid w:val="0023134F"/>
    <w:rsid w:val="0023220F"/>
    <w:rsid w:val="00266C6A"/>
    <w:rsid w:val="0027393E"/>
    <w:rsid w:val="00274D67"/>
    <w:rsid w:val="00285A6D"/>
    <w:rsid w:val="002860CD"/>
    <w:rsid w:val="002922C3"/>
    <w:rsid w:val="00296359"/>
    <w:rsid w:val="002967CB"/>
    <w:rsid w:val="002A0714"/>
    <w:rsid w:val="002A3B34"/>
    <w:rsid w:val="002B6D91"/>
    <w:rsid w:val="002C35B6"/>
    <w:rsid w:val="002D3704"/>
    <w:rsid w:val="002D5228"/>
    <w:rsid w:val="002D7FF8"/>
    <w:rsid w:val="002E4DD4"/>
    <w:rsid w:val="002E5A7E"/>
    <w:rsid w:val="002F1FBB"/>
    <w:rsid w:val="00302055"/>
    <w:rsid w:val="00302CE1"/>
    <w:rsid w:val="00305F0E"/>
    <w:rsid w:val="00307CC5"/>
    <w:rsid w:val="00316795"/>
    <w:rsid w:val="003169B9"/>
    <w:rsid w:val="00326E04"/>
    <w:rsid w:val="00331DBD"/>
    <w:rsid w:val="003378D4"/>
    <w:rsid w:val="003463E4"/>
    <w:rsid w:val="003629B6"/>
    <w:rsid w:val="0037154F"/>
    <w:rsid w:val="00371AF1"/>
    <w:rsid w:val="0039100C"/>
    <w:rsid w:val="00391494"/>
    <w:rsid w:val="0039219A"/>
    <w:rsid w:val="0039648E"/>
    <w:rsid w:val="003B340D"/>
    <w:rsid w:val="003B3993"/>
    <w:rsid w:val="003B4968"/>
    <w:rsid w:val="003C5784"/>
    <w:rsid w:val="003C7C5E"/>
    <w:rsid w:val="003D5A94"/>
    <w:rsid w:val="003E34A4"/>
    <w:rsid w:val="003E5601"/>
    <w:rsid w:val="003E68DD"/>
    <w:rsid w:val="003F3B5D"/>
    <w:rsid w:val="00402452"/>
    <w:rsid w:val="00405021"/>
    <w:rsid w:val="00406DD8"/>
    <w:rsid w:val="004216B9"/>
    <w:rsid w:val="00430366"/>
    <w:rsid w:val="00430A6F"/>
    <w:rsid w:val="004407C4"/>
    <w:rsid w:val="00442D5B"/>
    <w:rsid w:val="00443AAC"/>
    <w:rsid w:val="00451A0A"/>
    <w:rsid w:val="00455569"/>
    <w:rsid w:val="0046759A"/>
    <w:rsid w:val="00471F96"/>
    <w:rsid w:val="0047759D"/>
    <w:rsid w:val="00477F28"/>
    <w:rsid w:val="00480965"/>
    <w:rsid w:val="00492259"/>
    <w:rsid w:val="00492672"/>
    <w:rsid w:val="004A2803"/>
    <w:rsid w:val="004B06A1"/>
    <w:rsid w:val="004B6831"/>
    <w:rsid w:val="004C04E1"/>
    <w:rsid w:val="004C3AAA"/>
    <w:rsid w:val="004C4709"/>
    <w:rsid w:val="004C4982"/>
    <w:rsid w:val="004C65A1"/>
    <w:rsid w:val="004C7CB4"/>
    <w:rsid w:val="004D4E2C"/>
    <w:rsid w:val="004D561C"/>
    <w:rsid w:val="004E0CBB"/>
    <w:rsid w:val="004E32DC"/>
    <w:rsid w:val="004F5412"/>
    <w:rsid w:val="004F7602"/>
    <w:rsid w:val="00510A34"/>
    <w:rsid w:val="00514E60"/>
    <w:rsid w:val="005248F0"/>
    <w:rsid w:val="005267FD"/>
    <w:rsid w:val="00532FDC"/>
    <w:rsid w:val="00540B55"/>
    <w:rsid w:val="00541928"/>
    <w:rsid w:val="005566AB"/>
    <w:rsid w:val="005616A9"/>
    <w:rsid w:val="00567608"/>
    <w:rsid w:val="005742E7"/>
    <w:rsid w:val="00584992"/>
    <w:rsid w:val="0059005A"/>
    <w:rsid w:val="00592322"/>
    <w:rsid w:val="0059269E"/>
    <w:rsid w:val="00594337"/>
    <w:rsid w:val="0059771F"/>
    <w:rsid w:val="005979A9"/>
    <w:rsid w:val="005C071C"/>
    <w:rsid w:val="005C1FAD"/>
    <w:rsid w:val="005C4BFF"/>
    <w:rsid w:val="005C747B"/>
    <w:rsid w:val="005D7C92"/>
    <w:rsid w:val="005E3D36"/>
    <w:rsid w:val="005E647D"/>
    <w:rsid w:val="005F0D8F"/>
    <w:rsid w:val="006041C7"/>
    <w:rsid w:val="0060455E"/>
    <w:rsid w:val="00604F45"/>
    <w:rsid w:val="00622C71"/>
    <w:rsid w:val="00623B6F"/>
    <w:rsid w:val="0063042C"/>
    <w:rsid w:val="00632A33"/>
    <w:rsid w:val="00636A06"/>
    <w:rsid w:val="00640002"/>
    <w:rsid w:val="00640985"/>
    <w:rsid w:val="00653868"/>
    <w:rsid w:val="00664E79"/>
    <w:rsid w:val="0066578C"/>
    <w:rsid w:val="006724E5"/>
    <w:rsid w:val="00690B8B"/>
    <w:rsid w:val="006979C6"/>
    <w:rsid w:val="006A7260"/>
    <w:rsid w:val="006B41EB"/>
    <w:rsid w:val="006C1360"/>
    <w:rsid w:val="006C37E2"/>
    <w:rsid w:val="006D07A7"/>
    <w:rsid w:val="006E1FB0"/>
    <w:rsid w:val="006F42E7"/>
    <w:rsid w:val="00701C19"/>
    <w:rsid w:val="0071198B"/>
    <w:rsid w:val="00715001"/>
    <w:rsid w:val="007454BA"/>
    <w:rsid w:val="0076053F"/>
    <w:rsid w:val="0076324B"/>
    <w:rsid w:val="00767585"/>
    <w:rsid w:val="00772FB5"/>
    <w:rsid w:val="00782E0A"/>
    <w:rsid w:val="00786B52"/>
    <w:rsid w:val="00787CB8"/>
    <w:rsid w:val="007964D5"/>
    <w:rsid w:val="007A6CA2"/>
    <w:rsid w:val="007C6129"/>
    <w:rsid w:val="007D6359"/>
    <w:rsid w:val="007F358B"/>
    <w:rsid w:val="007F6A87"/>
    <w:rsid w:val="00801468"/>
    <w:rsid w:val="0080752B"/>
    <w:rsid w:val="00814813"/>
    <w:rsid w:val="00814BC4"/>
    <w:rsid w:val="0083438C"/>
    <w:rsid w:val="00840D98"/>
    <w:rsid w:val="00853090"/>
    <w:rsid w:val="008560A2"/>
    <w:rsid w:val="008611B6"/>
    <w:rsid w:val="008758B4"/>
    <w:rsid w:val="00882410"/>
    <w:rsid w:val="00882B4D"/>
    <w:rsid w:val="00883905"/>
    <w:rsid w:val="0088688E"/>
    <w:rsid w:val="0089457C"/>
    <w:rsid w:val="008A32A0"/>
    <w:rsid w:val="008A5B0D"/>
    <w:rsid w:val="008A740F"/>
    <w:rsid w:val="008B5F09"/>
    <w:rsid w:val="008C7B63"/>
    <w:rsid w:val="008E0990"/>
    <w:rsid w:val="008F6E27"/>
    <w:rsid w:val="00901067"/>
    <w:rsid w:val="00911606"/>
    <w:rsid w:val="00915889"/>
    <w:rsid w:val="00917C3B"/>
    <w:rsid w:val="0092026F"/>
    <w:rsid w:val="009211D8"/>
    <w:rsid w:val="00930913"/>
    <w:rsid w:val="00937871"/>
    <w:rsid w:val="00941F0F"/>
    <w:rsid w:val="00953596"/>
    <w:rsid w:val="0096160A"/>
    <w:rsid w:val="009774F0"/>
    <w:rsid w:val="00980999"/>
    <w:rsid w:val="00982C01"/>
    <w:rsid w:val="009930CE"/>
    <w:rsid w:val="00996711"/>
    <w:rsid w:val="009A003D"/>
    <w:rsid w:val="009A7C2D"/>
    <w:rsid w:val="009B0CF7"/>
    <w:rsid w:val="009B285F"/>
    <w:rsid w:val="009C0E5C"/>
    <w:rsid w:val="009C5E6E"/>
    <w:rsid w:val="009D403F"/>
    <w:rsid w:val="009D5879"/>
    <w:rsid w:val="009F0087"/>
    <w:rsid w:val="009F65AE"/>
    <w:rsid w:val="00A012BD"/>
    <w:rsid w:val="00A11E5C"/>
    <w:rsid w:val="00A1684C"/>
    <w:rsid w:val="00A26B83"/>
    <w:rsid w:val="00A27720"/>
    <w:rsid w:val="00A3118B"/>
    <w:rsid w:val="00A33749"/>
    <w:rsid w:val="00A3479B"/>
    <w:rsid w:val="00A40425"/>
    <w:rsid w:val="00A44105"/>
    <w:rsid w:val="00A632F6"/>
    <w:rsid w:val="00A65768"/>
    <w:rsid w:val="00A71B1D"/>
    <w:rsid w:val="00A8019C"/>
    <w:rsid w:val="00A97F28"/>
    <w:rsid w:val="00AA00C1"/>
    <w:rsid w:val="00AA76AE"/>
    <w:rsid w:val="00AB4268"/>
    <w:rsid w:val="00AB5592"/>
    <w:rsid w:val="00AC163B"/>
    <w:rsid w:val="00AC44B0"/>
    <w:rsid w:val="00AD4F2E"/>
    <w:rsid w:val="00AE2912"/>
    <w:rsid w:val="00AE31FA"/>
    <w:rsid w:val="00AE6F29"/>
    <w:rsid w:val="00AF3137"/>
    <w:rsid w:val="00AF4702"/>
    <w:rsid w:val="00B02D1A"/>
    <w:rsid w:val="00B032A4"/>
    <w:rsid w:val="00B2191C"/>
    <w:rsid w:val="00B2439B"/>
    <w:rsid w:val="00B3000A"/>
    <w:rsid w:val="00B34923"/>
    <w:rsid w:val="00B569F9"/>
    <w:rsid w:val="00B57049"/>
    <w:rsid w:val="00B6070C"/>
    <w:rsid w:val="00B6234D"/>
    <w:rsid w:val="00B65BC8"/>
    <w:rsid w:val="00B66588"/>
    <w:rsid w:val="00B749EC"/>
    <w:rsid w:val="00B8379D"/>
    <w:rsid w:val="00B90A91"/>
    <w:rsid w:val="00B95332"/>
    <w:rsid w:val="00BA36A7"/>
    <w:rsid w:val="00BA6097"/>
    <w:rsid w:val="00BA76D0"/>
    <w:rsid w:val="00BB069C"/>
    <w:rsid w:val="00BB40B2"/>
    <w:rsid w:val="00BC2B4B"/>
    <w:rsid w:val="00BC53D2"/>
    <w:rsid w:val="00BD603D"/>
    <w:rsid w:val="00BE5B2C"/>
    <w:rsid w:val="00C07804"/>
    <w:rsid w:val="00C07807"/>
    <w:rsid w:val="00C174D2"/>
    <w:rsid w:val="00C22C9B"/>
    <w:rsid w:val="00C251D6"/>
    <w:rsid w:val="00C269C0"/>
    <w:rsid w:val="00C50BFC"/>
    <w:rsid w:val="00C5429B"/>
    <w:rsid w:val="00C649AA"/>
    <w:rsid w:val="00C74642"/>
    <w:rsid w:val="00C859C9"/>
    <w:rsid w:val="00C86877"/>
    <w:rsid w:val="00C9049C"/>
    <w:rsid w:val="00C94A37"/>
    <w:rsid w:val="00CA0615"/>
    <w:rsid w:val="00CA1498"/>
    <w:rsid w:val="00CB4505"/>
    <w:rsid w:val="00CD6F35"/>
    <w:rsid w:val="00CE27F3"/>
    <w:rsid w:val="00CF53D0"/>
    <w:rsid w:val="00D022AA"/>
    <w:rsid w:val="00D023F4"/>
    <w:rsid w:val="00D21D1F"/>
    <w:rsid w:val="00D271E7"/>
    <w:rsid w:val="00D32D70"/>
    <w:rsid w:val="00D44283"/>
    <w:rsid w:val="00D55D3D"/>
    <w:rsid w:val="00D608CB"/>
    <w:rsid w:val="00D60E19"/>
    <w:rsid w:val="00D63C0C"/>
    <w:rsid w:val="00D66B27"/>
    <w:rsid w:val="00D66BB2"/>
    <w:rsid w:val="00D66F28"/>
    <w:rsid w:val="00D741EF"/>
    <w:rsid w:val="00D764E2"/>
    <w:rsid w:val="00D8116B"/>
    <w:rsid w:val="00D90D12"/>
    <w:rsid w:val="00D957C9"/>
    <w:rsid w:val="00DA565B"/>
    <w:rsid w:val="00DA7A61"/>
    <w:rsid w:val="00DB042F"/>
    <w:rsid w:val="00DB68AD"/>
    <w:rsid w:val="00DD4D85"/>
    <w:rsid w:val="00DE1F65"/>
    <w:rsid w:val="00DF0F1C"/>
    <w:rsid w:val="00DF5A72"/>
    <w:rsid w:val="00E0240E"/>
    <w:rsid w:val="00E15590"/>
    <w:rsid w:val="00E176B1"/>
    <w:rsid w:val="00E23978"/>
    <w:rsid w:val="00E6300E"/>
    <w:rsid w:val="00E65209"/>
    <w:rsid w:val="00E70B00"/>
    <w:rsid w:val="00E7123C"/>
    <w:rsid w:val="00E71487"/>
    <w:rsid w:val="00E9656D"/>
    <w:rsid w:val="00E97064"/>
    <w:rsid w:val="00E97673"/>
    <w:rsid w:val="00EA5334"/>
    <w:rsid w:val="00ED05FB"/>
    <w:rsid w:val="00EF139C"/>
    <w:rsid w:val="00F054D5"/>
    <w:rsid w:val="00F12295"/>
    <w:rsid w:val="00F219BE"/>
    <w:rsid w:val="00F3196A"/>
    <w:rsid w:val="00F364DA"/>
    <w:rsid w:val="00F515A7"/>
    <w:rsid w:val="00F569FA"/>
    <w:rsid w:val="00F61465"/>
    <w:rsid w:val="00F71B27"/>
    <w:rsid w:val="00F770EF"/>
    <w:rsid w:val="00F82FAE"/>
    <w:rsid w:val="00F83DC1"/>
    <w:rsid w:val="00F94916"/>
    <w:rsid w:val="00F97B7F"/>
    <w:rsid w:val="00FB131D"/>
    <w:rsid w:val="00FB2B11"/>
    <w:rsid w:val="00FB2ECB"/>
    <w:rsid w:val="00FC6B8A"/>
    <w:rsid w:val="00FD2931"/>
    <w:rsid w:val="00FD7CC6"/>
    <w:rsid w:val="00FE1672"/>
    <w:rsid w:val="00FE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27753-ED5F-4A39-AABA-FA9F8541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0A0"/>
    <w:pPr>
      <w:spacing w:after="0" w:line="300" w:lineRule="auto"/>
      <w:jc w:val="both"/>
    </w:pPr>
    <w:rPr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F00A0"/>
    <w:pPr>
      <w:keepNext/>
      <w:keepLines/>
      <w:outlineLvl w:val="1"/>
    </w:pPr>
    <w:rPr>
      <w:rFonts w:asciiTheme="majorHAnsi" w:eastAsiaTheme="majorEastAsia" w:hAnsiTheme="majorHAnsi" w:cstheme="majorBidi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pcode">
    <w:name w:val="Compcode"/>
    <w:basedOn w:val="DefaultParagraphFont"/>
    <w:uiPriority w:val="1"/>
    <w:qFormat/>
    <w:rsid w:val="00112F97"/>
    <w:rPr>
      <w:rFonts w:ascii="Courier New" w:hAnsi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1F00A0"/>
    <w:rPr>
      <w:rFonts w:asciiTheme="majorHAnsi" w:eastAsiaTheme="majorEastAsia" w:hAnsiTheme="majorHAnsi" w:cstheme="majorBidi"/>
      <w:i/>
      <w:sz w:val="26"/>
      <w:szCs w:val="26"/>
    </w:rPr>
  </w:style>
  <w:style w:type="table" w:styleId="TableGrid">
    <w:name w:val="Table Grid"/>
    <w:basedOn w:val="TableNormal"/>
    <w:uiPriority w:val="39"/>
    <w:rsid w:val="001F00A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67FD"/>
    <w:rPr>
      <w:color w:val="808080"/>
    </w:rPr>
  </w:style>
  <w:style w:type="paragraph" w:styleId="ListParagraph">
    <w:name w:val="List Paragraph"/>
    <w:basedOn w:val="Normal"/>
    <w:uiPriority w:val="34"/>
    <w:qFormat/>
    <w:rsid w:val="00524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8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7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364D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DefaultParagraphFont"/>
    <w:rsid w:val="00DF0F1C"/>
  </w:style>
  <w:style w:type="character" w:customStyle="1" w:styleId="jrnl">
    <w:name w:val="jrnl"/>
    <w:basedOn w:val="DefaultParagraphFont"/>
    <w:rsid w:val="00081903"/>
  </w:style>
  <w:style w:type="paragraph" w:styleId="NormalWeb">
    <w:name w:val="Normal (Web)"/>
    <w:basedOn w:val="Normal"/>
    <w:uiPriority w:val="99"/>
    <w:semiHidden/>
    <w:unhideWhenUsed/>
    <w:rsid w:val="00BA36A7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C54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4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a-journal.com/article.html?article=st0096" TargetMode="External"/><Relationship Id="rId13" Type="http://schemas.openxmlformats.org/officeDocument/2006/relationships/hyperlink" Target="https://www.ncbi.nlm.nih.gov/pubmed/3366491" TargetMode="External"/><Relationship Id="rId18" Type="http://schemas.openxmlformats.org/officeDocument/2006/relationships/hyperlink" Target="https://www.conted.ox.ac.uk/about/msc-in-ebhc-systematic-review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cbi.nlm.nih.gov/pubmed/1626547" TargetMode="External"/><Relationship Id="rId12" Type="http://schemas.openxmlformats.org/officeDocument/2006/relationships/hyperlink" Target="https://www.ncbi.nlm.nih.gov/pubmed/25589001" TargetMode="External"/><Relationship Id="rId17" Type="http://schemas.openxmlformats.org/officeDocument/2006/relationships/hyperlink" Target="https://www.conted.ox.ac.uk/about/msc-in-ebhc-medical-statistic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ted.ox.ac.uk/about/msc-in-evidence-based-health-car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ncbi.nlm.nih.gov/pubmed/103593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ted.ox.ac.uk/courses/meta-analysis%3c/link" TargetMode="External"/><Relationship Id="rId10" Type="http://schemas.openxmlformats.org/officeDocument/2006/relationships/hyperlink" Target="https://cran.r-project.org/web/packages/dosresmeta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sph.harvard.edu/donna-spiegelman/software/metadose/" TargetMode="External"/><Relationship Id="rId14" Type="http://schemas.openxmlformats.org/officeDocument/2006/relationships/hyperlink" Target="https://bit.ly/2ueyQ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6B11DF0-2D0A-406E-A4CF-1A07C291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Stevens</dc:creator>
  <cp:keywords/>
  <dc:description/>
  <cp:lastModifiedBy>kst</cp:lastModifiedBy>
  <cp:revision>41</cp:revision>
  <cp:lastPrinted>2019-01-14T23:01:00Z</cp:lastPrinted>
  <dcterms:created xsi:type="dcterms:W3CDTF">2019-04-09T09:15:00Z</dcterms:created>
  <dcterms:modified xsi:type="dcterms:W3CDTF">2019-05-01T22:00:00Z</dcterms:modified>
</cp:coreProperties>
</file>