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38" w:rsidRDefault="00786B52" w:rsidP="00164538">
      <w:pPr>
        <w:rPr>
          <w:b/>
        </w:rPr>
      </w:pPr>
      <w:r>
        <w:rPr>
          <w:b/>
        </w:rPr>
        <w:t xml:space="preserve">Tip </w:t>
      </w:r>
      <w:r w:rsidR="007C6129">
        <w:rPr>
          <w:b/>
        </w:rPr>
        <w:t>for</w:t>
      </w:r>
      <w:r>
        <w:rPr>
          <w:b/>
        </w:rPr>
        <w:t xml:space="preserve"> d</w:t>
      </w:r>
      <w:r w:rsidR="00164538">
        <w:rPr>
          <w:b/>
        </w:rPr>
        <w:t xml:space="preserve">ata extraction </w:t>
      </w:r>
      <w:r w:rsidR="00165841">
        <w:rPr>
          <w:b/>
        </w:rPr>
        <w:t>for</w:t>
      </w:r>
      <w:r w:rsidR="00164538">
        <w:rPr>
          <w:b/>
        </w:rPr>
        <w:t xml:space="preserve"> meta-analysis </w:t>
      </w:r>
      <w:r>
        <w:rPr>
          <w:b/>
        </w:rPr>
        <w:t>-</w:t>
      </w:r>
      <w:r w:rsidR="00164538">
        <w:rPr>
          <w:b/>
        </w:rPr>
        <w:t xml:space="preserve"> </w:t>
      </w:r>
      <w:r w:rsidR="00371AF1">
        <w:rPr>
          <w:b/>
        </w:rPr>
        <w:t>6</w:t>
      </w:r>
    </w:p>
    <w:p w:rsidR="00567608" w:rsidRDefault="00567608" w:rsidP="00567608">
      <w:pPr>
        <w:jc w:val="center"/>
      </w:pPr>
      <w:r>
        <w:rPr>
          <w:noProof/>
          <w:lang w:eastAsia="zh-CN"/>
        </w:rPr>
        <w:drawing>
          <wp:inline distT="0" distB="0" distL="0" distR="0" wp14:anchorId="336936E2" wp14:editId="666B43CE">
            <wp:extent cx="3483893" cy="17221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877" cy="172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D36" w:rsidRPr="005E3D36" w:rsidRDefault="00371AF1" w:rsidP="005E3D36">
      <w:pPr>
        <w:rPr>
          <w:i/>
        </w:rPr>
      </w:pPr>
      <w:r>
        <w:rPr>
          <w:i/>
        </w:rPr>
        <w:t xml:space="preserve">How do you calculate a standard error of </w:t>
      </w:r>
      <w:r w:rsidR="001C4A6A">
        <w:rPr>
          <w:i/>
        </w:rPr>
        <w:t>a beta coefficient</w:t>
      </w:r>
      <w:r w:rsidR="005E3D36" w:rsidRPr="005E3D36">
        <w:rPr>
          <w:i/>
        </w:rPr>
        <w:t xml:space="preserve">?  </w:t>
      </w:r>
    </w:p>
    <w:p w:rsidR="0008515A" w:rsidRDefault="0008515A" w:rsidP="005E3D36"/>
    <w:p w:rsidR="005E3D36" w:rsidRPr="005E3D36" w:rsidRDefault="005E3D36" w:rsidP="005E3D36">
      <w:r w:rsidRPr="005E3D36">
        <w:t>Kathy Taylor</w:t>
      </w:r>
    </w:p>
    <w:p w:rsidR="005E3D36" w:rsidRDefault="005E3D36" w:rsidP="005E3D36"/>
    <w:p w:rsidR="002B6D91" w:rsidRDefault="001C1D89" w:rsidP="002B6D91">
      <w:r>
        <w:t xml:space="preserve">I have shown how to </w:t>
      </w:r>
      <w:hyperlink r:id="rId7" w:history="1">
        <w:r w:rsidRPr="00D01F34">
          <w:rPr>
            <w:rStyle w:val="Hyperlink"/>
          </w:rPr>
          <w:t xml:space="preserve">rescale </w:t>
        </w:r>
        <w:r w:rsidR="002E5A7E" w:rsidRPr="00D01F34">
          <w:rPr>
            <w:rStyle w:val="Hyperlink"/>
          </w:rPr>
          <w:t>hazard ratios</w:t>
        </w:r>
      </w:hyperlink>
      <w:r w:rsidR="002E5A7E">
        <w:t xml:space="preserve"> (HRs) </w:t>
      </w:r>
      <w:r w:rsidR="00540B55">
        <w:t>to a common change in a predictor variable</w:t>
      </w:r>
      <w:r w:rsidR="002E5A7E">
        <w:t>,</w:t>
      </w:r>
      <w:r w:rsidR="00540B55">
        <w:t xml:space="preserve"> and </w:t>
      </w:r>
      <w:r w:rsidR="002E5A7E">
        <w:t xml:space="preserve">also </w:t>
      </w:r>
      <w:hyperlink r:id="rId8" w:history="1">
        <w:r w:rsidR="00540B55" w:rsidRPr="00D01F34">
          <w:rPr>
            <w:rStyle w:val="Hyperlink"/>
          </w:rPr>
          <w:t>beta coefficients</w:t>
        </w:r>
      </w:hyperlink>
      <w:r w:rsidR="00540B55">
        <w:t xml:space="preserve"> which are HRs </w:t>
      </w:r>
      <w:r w:rsidR="002E5A7E">
        <w:t xml:space="preserve">(natural) </w:t>
      </w:r>
      <w:r w:rsidR="00540B55">
        <w:t>log</w:t>
      </w:r>
      <w:r w:rsidR="002E5A7E">
        <w:t>-</w:t>
      </w:r>
      <w:r w:rsidR="00540B55">
        <w:t xml:space="preserve">transformed.  </w:t>
      </w:r>
      <w:r w:rsidR="002E5A7E">
        <w:t>We need to enter beta coefficients and their SEs into m</w:t>
      </w:r>
      <w:r w:rsidR="00D66BB2">
        <w:t>eta-analysis software</w:t>
      </w:r>
      <w:r w:rsidR="002E5A7E">
        <w:t xml:space="preserve">. </w:t>
      </w:r>
      <w:r w:rsidR="002B6D91">
        <w:t xml:space="preserve">In </w:t>
      </w:r>
      <w:r w:rsidR="005D7C92">
        <w:t>this post</w:t>
      </w:r>
      <w:r w:rsidR="002B6D91">
        <w:t xml:space="preserve"> I’ll show how to calculate the</w:t>
      </w:r>
      <w:r w:rsidR="005D7C92">
        <w:t>se</w:t>
      </w:r>
      <w:r w:rsidR="002B6D91">
        <w:t xml:space="preserve"> SEs.</w:t>
      </w:r>
      <w:r w:rsidR="002B6D91" w:rsidRPr="00F97B7F">
        <w:t xml:space="preserve"> </w:t>
      </w:r>
    </w:p>
    <w:p w:rsidR="0096160A" w:rsidRDefault="0096160A" w:rsidP="00007277"/>
    <w:p w:rsidR="002967CB" w:rsidRDefault="00C9049C" w:rsidP="00C94A37">
      <w:r>
        <w:t>Beta coefficients may be reported with a standard error (SE) or a t-value.</w:t>
      </w:r>
      <w:r w:rsidR="005D7C92">
        <w:t xml:space="preserve"> HRs </w:t>
      </w:r>
      <w:r w:rsidR="004B06A1">
        <w:t>are</w:t>
      </w:r>
      <w:r w:rsidR="005D7C92">
        <w:t xml:space="preserve"> usually reported with a confidence interval. </w:t>
      </w:r>
    </w:p>
    <w:p w:rsidR="00F83DC1" w:rsidRPr="00B66588" w:rsidRDefault="00405021" w:rsidP="00B66588">
      <w:pPr>
        <w:jc w:val="center"/>
        <w:rPr>
          <w:rFonts w:eastAsiaTheme="minorEastAsia"/>
          <w:sz w:val="28"/>
          <w:szCs w:val="28"/>
        </w:rPr>
      </w:pPr>
      <w:r>
        <w:t xml:space="preserve">                                                            </w:t>
      </w:r>
    </w:p>
    <w:p w:rsidR="001A75D3" w:rsidRDefault="00BC53D2" w:rsidP="00701C19">
      <w:r>
        <w:t>A</w:t>
      </w:r>
      <w:r w:rsidR="00701C19">
        <w:t xml:space="preserve"> bit of maths (see below if you're interested) shows us</w:t>
      </w:r>
      <w:r w:rsidR="007F6A87">
        <w:t>:</w:t>
      </w:r>
    </w:p>
    <w:p w:rsidR="0039648E" w:rsidRPr="0013591A" w:rsidRDefault="0039648E" w:rsidP="00701C19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SE of beta=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beta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t value</m:t>
              </m:r>
            </m:den>
          </m:f>
        </m:oMath>
      </m:oMathPara>
    </w:p>
    <w:p w:rsidR="0013591A" w:rsidRPr="0013591A" w:rsidRDefault="0013591A" w:rsidP="00701C19">
      <w:pPr>
        <w:rPr>
          <w:rFonts w:eastAsiaTheme="minorEastAsia"/>
          <w:sz w:val="28"/>
          <w:szCs w:val="28"/>
        </w:rPr>
      </w:pPr>
    </w:p>
    <w:p w:rsidR="0013591A" w:rsidRPr="00594337" w:rsidRDefault="0013591A" w:rsidP="0013591A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SE of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upperCI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lowerCI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3.92</m:t>
              </m:r>
            </m:den>
          </m:f>
        </m:oMath>
      </m:oMathPara>
    </w:p>
    <w:p w:rsidR="00594337" w:rsidRPr="0013591A" w:rsidRDefault="00594337" w:rsidP="0013591A">
      <w:pPr>
        <w:jc w:val="center"/>
        <w:rPr>
          <w:rFonts w:eastAsiaTheme="minorEastAsia"/>
          <w:sz w:val="28"/>
          <w:szCs w:val="28"/>
        </w:rPr>
      </w:pPr>
    </w:p>
    <w:p w:rsidR="0013591A" w:rsidRPr="0039648E" w:rsidRDefault="0013591A" w:rsidP="0013591A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SE of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upperCI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-ln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lowerCI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3.92</m:t>
              </m:r>
            </m:den>
          </m:f>
        </m:oMath>
      </m:oMathPara>
    </w:p>
    <w:p w:rsidR="0013591A" w:rsidRDefault="0013591A" w:rsidP="00701C19">
      <w:pPr>
        <w:rPr>
          <w:rFonts w:eastAsiaTheme="minorEastAsia"/>
          <w:sz w:val="28"/>
          <w:szCs w:val="28"/>
        </w:rPr>
      </w:pPr>
    </w:p>
    <w:p w:rsidR="0013591A" w:rsidRDefault="0020284E" w:rsidP="0013591A">
      <w:pPr>
        <w:jc w:val="left"/>
        <w:rPr>
          <w:rFonts w:eastAsiaTheme="minorEastAsia"/>
          <w:szCs w:val="24"/>
        </w:rPr>
      </w:pPr>
      <w:proofErr w:type="gramStart"/>
      <w:r>
        <w:rPr>
          <w:rFonts w:eastAsiaTheme="minorEastAsia"/>
          <w:szCs w:val="24"/>
        </w:rPr>
        <w:t>a</w:t>
      </w:r>
      <w:r w:rsidR="0013591A" w:rsidRPr="008372EE">
        <w:rPr>
          <w:rFonts w:eastAsiaTheme="minorEastAsia"/>
          <w:szCs w:val="24"/>
        </w:rPr>
        <w:t>nd</w:t>
      </w:r>
      <w:proofErr w:type="gramEnd"/>
      <w:r w:rsidR="0013591A" w:rsidRPr="008372EE">
        <w:rPr>
          <w:rFonts w:eastAsiaTheme="minorEastAsia"/>
          <w:szCs w:val="24"/>
        </w:rPr>
        <w:t xml:space="preserve"> </w:t>
      </w:r>
      <w:r w:rsidR="0013591A">
        <w:rPr>
          <w:rFonts w:eastAsiaTheme="minorEastAsia"/>
          <w:szCs w:val="24"/>
        </w:rPr>
        <w:t xml:space="preserve">rescaling from a change of x units to y units in the predictor variable </w:t>
      </w:r>
    </w:p>
    <w:p w:rsidR="002E5A7E" w:rsidRDefault="002E5A7E" w:rsidP="0013591A">
      <w:pPr>
        <w:jc w:val="left"/>
        <w:rPr>
          <w:rFonts w:eastAsiaTheme="minorEastAsia"/>
          <w:szCs w:val="24"/>
        </w:rPr>
      </w:pPr>
    </w:p>
    <w:p w:rsidR="002E5A7E" w:rsidRPr="0039648E" w:rsidRDefault="002E5A7E" w:rsidP="002E5A7E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SE of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=y×SE of beta</m:t>
          </m:r>
        </m:oMath>
      </m:oMathPara>
    </w:p>
    <w:p w:rsidR="0039648E" w:rsidRPr="0020284E" w:rsidRDefault="004B06A1" w:rsidP="00701C19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SE of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=y×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beta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t value</m:t>
              </m:r>
            </m:den>
          </m:f>
        </m:oMath>
      </m:oMathPara>
    </w:p>
    <w:p w:rsidR="004F7602" w:rsidRDefault="004F7602" w:rsidP="00B02D1A">
      <w:pPr>
        <w:jc w:val="center"/>
      </w:pPr>
    </w:p>
    <w:p w:rsidR="005D7C92" w:rsidRDefault="0020284E" w:rsidP="00F16CF7">
      <w:pPr>
        <w:jc w:val="left"/>
      </w:pPr>
      <w:r>
        <w:t>a</w:t>
      </w:r>
      <w:r w:rsidR="002A3B34">
        <w:t xml:space="preserve">nd if the HR hasn’t already been </w:t>
      </w:r>
      <w:r w:rsidR="00594337">
        <w:t xml:space="preserve">rescaled </w:t>
      </w:r>
      <w:proofErr w:type="spellStart"/>
      <w:r w:rsidR="00594337">
        <w:t>to y</w:t>
      </w:r>
      <w:proofErr w:type="spellEnd"/>
      <w:r w:rsidR="00594337">
        <w:t xml:space="preserve"> units</w:t>
      </w:r>
    </w:p>
    <w:p w:rsidR="00D66BB2" w:rsidRPr="0039648E" w:rsidRDefault="004B06A1" w:rsidP="00B02D1A">
      <w:pPr>
        <w:jc w:val="center"/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w:lastRenderedPageBreak/>
            <m:t xml:space="preserve">SE of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upperCI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-ln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lowerCI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3.92</m:t>
              </m:r>
            </m:den>
          </m:f>
        </m:oMath>
      </m:oMathPara>
    </w:p>
    <w:p w:rsidR="004B06A1" w:rsidRDefault="004B06A1" w:rsidP="00C94A37"/>
    <w:p w:rsidR="00F604AA" w:rsidRDefault="00D01F34" w:rsidP="00C94A37">
      <w:r>
        <w:t xml:space="preserve">Let me show you some examples. </w:t>
      </w:r>
      <w:r w:rsidR="00F604AA">
        <w:t xml:space="preserve">Returning to </w:t>
      </w:r>
      <w:r>
        <w:t>the</w:t>
      </w:r>
      <w:r w:rsidR="00F604AA">
        <w:t xml:space="preserve"> </w:t>
      </w:r>
      <w:r w:rsidR="00F604AA">
        <w:t xml:space="preserve">studies </w:t>
      </w:r>
      <w:r w:rsidR="00F604AA">
        <w:t xml:space="preserve">mentioned </w:t>
      </w:r>
      <w:r w:rsidR="00F604AA">
        <w:t xml:space="preserve">in my previous </w:t>
      </w:r>
      <w:hyperlink r:id="rId9" w:history="1">
        <w:r w:rsidR="00F604AA" w:rsidRPr="00AE0EF5">
          <w:rPr>
            <w:rStyle w:val="Hyperlink"/>
          </w:rPr>
          <w:t>post</w:t>
        </w:r>
      </w:hyperlink>
      <w:r>
        <w:t xml:space="preserve">. I had already scaled them </w:t>
      </w:r>
      <w:r w:rsidR="00DE1A9E">
        <w:t>to</w:t>
      </w:r>
      <w:r w:rsidR="00F604AA">
        <w:t xml:space="preserve"> a 5mmHg increase in systolic blood pressure variability</w:t>
      </w:r>
      <w:r w:rsidR="00DE1A9E">
        <w:t>:</w:t>
      </w:r>
    </w:p>
    <w:p w:rsidR="001577D9" w:rsidRDefault="001577D9" w:rsidP="00C94A37"/>
    <w:p w:rsidR="00EB572D" w:rsidRDefault="00EB572D" w:rsidP="00C94A37">
      <w:hyperlink r:id="rId10" w:history="1">
        <w:proofErr w:type="gramStart"/>
        <w:r w:rsidRPr="006F42E7">
          <w:rPr>
            <w:rStyle w:val="Hyperlink"/>
          </w:rPr>
          <w:t>study</w:t>
        </w:r>
        <w:proofErr w:type="gramEnd"/>
      </w:hyperlink>
      <w:r>
        <w:t xml:space="preserve"> by </w:t>
      </w:r>
      <w:proofErr w:type="spellStart"/>
      <w:r>
        <w:t>Mancia</w:t>
      </w:r>
      <w:proofErr w:type="spellEnd"/>
      <w:r>
        <w:t xml:space="preserve"> et al </w:t>
      </w:r>
      <w:r w:rsidR="00BB36A1">
        <w:t xml:space="preserve">has a </w:t>
      </w:r>
      <w:r>
        <w:t>beta coefficient</w:t>
      </w:r>
      <w:r>
        <w:t xml:space="preserve"> </w:t>
      </w:r>
      <w:r w:rsidR="00BB36A1">
        <w:t>of -0.092 and</w:t>
      </w:r>
      <w:r w:rsidR="00D01F34">
        <w:t xml:space="preserve"> its</w:t>
      </w:r>
      <w:r w:rsidR="00BB36A1">
        <w:t xml:space="preserve"> </w:t>
      </w:r>
      <m:oMath>
        <m:r>
          <w:rPr>
            <w:rFonts w:ascii="Cambria Math" w:hAnsi="Cambria Math"/>
          </w:rPr>
          <m:t>SE=0.033×5=0.165</m:t>
        </m:r>
      </m:oMath>
    </w:p>
    <w:p w:rsidR="00D058D1" w:rsidRPr="00DE1A9E" w:rsidRDefault="00EB572D" w:rsidP="00C94A37">
      <w:pPr>
        <w:rPr>
          <w:rFonts w:eastAsiaTheme="minorEastAsia"/>
        </w:rPr>
      </w:pPr>
      <w:hyperlink r:id="rId11" w:history="1">
        <w:proofErr w:type="gramStart"/>
        <w:r w:rsidRPr="00D60E19">
          <w:rPr>
            <w:rStyle w:val="Hyperlink"/>
          </w:rPr>
          <w:t>study</w:t>
        </w:r>
        <w:proofErr w:type="gramEnd"/>
      </w:hyperlink>
      <w:r>
        <w:t xml:space="preserve"> by Hansen et al </w:t>
      </w:r>
      <w:r w:rsidR="00BB36A1">
        <w:t>has a beta coefficient of 0.01 and</w:t>
      </w:r>
      <w:r w:rsidR="00D01F34">
        <w:t xml:space="preserve"> its</w:t>
      </w:r>
      <w:r w:rsidR="00BB36A1">
        <w:t xml:space="preserve"> </w:t>
      </w:r>
      <m:oMath>
        <m:r>
          <w:rPr>
            <w:rFonts w:ascii="Cambria Math" w:hAnsi="Cambria Math"/>
          </w:rPr>
          <m:t>SE=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1.04</m:t>
                </m:r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0.98</m:t>
                    </m:r>
                  </m:e>
                </m:d>
              </m:e>
            </m:func>
          </m:num>
          <m:den>
            <m:r>
              <w:rPr>
                <w:rFonts w:ascii="Cambria Math" w:hAnsi="Cambria Math"/>
              </w:rPr>
              <m:t>3.92</m:t>
            </m:r>
          </m:den>
        </m:f>
        <m:r>
          <w:rPr>
            <w:rFonts w:ascii="Cambria Math" w:hAnsi="Cambria Math"/>
          </w:rPr>
          <m:t>=0.01</m:t>
        </m:r>
        <m:r>
          <w:rPr>
            <w:rFonts w:ascii="Cambria Math" w:hAnsi="Cambria Math"/>
          </w:rPr>
          <m:t>5</m:t>
        </m:r>
      </m:oMath>
    </w:p>
    <w:p w:rsidR="00DE1A9E" w:rsidRPr="00DE1A9E" w:rsidRDefault="002B1924" w:rsidP="00DE1A9E">
      <w:pPr>
        <w:rPr>
          <w:rFonts w:eastAsiaTheme="minorEastAsia"/>
        </w:rPr>
      </w:pPr>
      <w:hyperlink r:id="rId12" w:history="1">
        <w:proofErr w:type="gramStart"/>
        <w:r w:rsidR="00F16CF7" w:rsidRPr="00D60E19">
          <w:rPr>
            <w:rStyle w:val="Hyperlink"/>
          </w:rPr>
          <w:t>study</w:t>
        </w:r>
        <w:proofErr w:type="gramEnd"/>
      </w:hyperlink>
      <w:r w:rsidR="00F16CF7">
        <w:t xml:space="preserve"> </w:t>
      </w:r>
      <w:r w:rsidR="00EB572D">
        <w:t xml:space="preserve">by Pringle et al </w:t>
      </w:r>
      <w:r w:rsidR="00DE1A9E">
        <w:t>has a be</w:t>
      </w:r>
      <w:r w:rsidR="00D058D1">
        <w:t>ta coefficient of 0.16 with</w:t>
      </w:r>
      <w:r w:rsidR="00D01F34">
        <w:t xml:space="preserve"> its</w:t>
      </w:r>
      <w:r w:rsidR="00D058D1">
        <w:t xml:space="preserve"> </w:t>
      </w:r>
      <m:oMath>
        <m:r>
          <w:rPr>
            <w:rFonts w:ascii="Cambria Math" w:hAnsi="Cambria Math"/>
          </w:rPr>
          <m:t>SE=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2.13</m:t>
                </m:r>
              </m:e>
            </m:d>
            <m:r>
              <w:rPr>
                <w:rFonts w:ascii="Cambria Math" w:hAnsi="Cambria Math"/>
              </w:rPr>
              <m:t>-</m:t>
            </m:r>
            <m:func>
              <m:funcPr>
                <m:ctrlPr>
                  <w:rPr>
                    <w:rFonts w:ascii="Cambria Math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  <m:ctrlPr>
                  <w:rPr>
                    <w:rFonts w:ascii="Cambria Math" w:hAnsi="Cambria Math"/>
                    <w:i/>
                  </w:rPr>
                </m:ctrlP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0.</m:t>
                    </m:r>
                    <m:r>
                      <w:rPr>
                        <w:rFonts w:ascii="Cambria Math" w:hAnsi="Cambria Math"/>
                      </w:rPr>
                      <m:t>64</m:t>
                    </m:r>
                  </m:e>
                </m:d>
              </m:e>
            </m:func>
          </m:num>
          <m:den>
            <m:r>
              <w:rPr>
                <w:rFonts w:ascii="Cambria Math" w:hAnsi="Cambria Math"/>
              </w:rPr>
              <m:t>3.92</m:t>
            </m:r>
          </m:den>
        </m:f>
        <m:r>
          <w:rPr>
            <w:rFonts w:ascii="Cambria Math" w:hAnsi="Cambria Math"/>
          </w:rPr>
          <m:t>=0.</m:t>
        </m:r>
        <m:r>
          <w:rPr>
            <w:rFonts w:ascii="Cambria Math" w:hAnsi="Cambria Math"/>
          </w:rPr>
          <m:t>307</m:t>
        </m:r>
      </m:oMath>
    </w:p>
    <w:p w:rsidR="00DE1A9E" w:rsidRDefault="00DE1A9E" w:rsidP="00D058D1"/>
    <w:p w:rsidR="0081524B" w:rsidRDefault="00DE1A9E" w:rsidP="00D058D1">
      <w:r>
        <w:t xml:space="preserve">So the data are ready for </w:t>
      </w:r>
      <w:r w:rsidR="00D01F34">
        <w:t>meta-analysis</w:t>
      </w:r>
      <w:r w:rsidR="005408BB">
        <w:t>,</w:t>
      </w:r>
      <w:r w:rsidR="00107798">
        <w:t xml:space="preserve"> but </w:t>
      </w:r>
      <w:r w:rsidR="005408BB">
        <w:t>all t</w:t>
      </w:r>
      <w:r w:rsidR="00107798">
        <w:t>hese data cannot be pooled together</w:t>
      </w:r>
      <w:r w:rsidR="005408BB">
        <w:t xml:space="preserve">. The data of </w:t>
      </w:r>
      <w:proofErr w:type="spellStart"/>
      <w:r w:rsidR="005408BB">
        <w:t>Mancia</w:t>
      </w:r>
      <w:proofErr w:type="spellEnd"/>
      <w:r w:rsidR="005408BB">
        <w:t xml:space="preserve"> et al may be pooled with the data of Hansen et al, or the data of Pringle at </w:t>
      </w:r>
      <w:proofErr w:type="spellStart"/>
      <w:r w:rsidR="005408BB">
        <w:t>al</w:t>
      </w:r>
      <w:proofErr w:type="spellEnd"/>
      <w:r w:rsidR="005408BB">
        <w:t>, but not</w:t>
      </w:r>
      <w:r w:rsidR="00D01F34">
        <w:t xml:space="preserve"> the</w:t>
      </w:r>
      <w:r w:rsidR="005408BB">
        <w:t xml:space="preserve"> data from both studies</w:t>
      </w:r>
      <w:r w:rsidR="00D01F34">
        <w:t>,</w:t>
      </w:r>
      <w:r w:rsidR="005408BB">
        <w:t xml:space="preserve"> b</w:t>
      </w:r>
      <w:r w:rsidR="00107798">
        <w:t xml:space="preserve">ecause the </w:t>
      </w:r>
      <w:r w:rsidR="005408BB">
        <w:t xml:space="preserve">patient </w:t>
      </w:r>
      <w:r w:rsidR="00107798">
        <w:t xml:space="preserve">populations </w:t>
      </w:r>
      <w:r w:rsidR="002B1924">
        <w:t xml:space="preserve">of these two studies </w:t>
      </w:r>
      <w:r w:rsidR="005408BB">
        <w:t xml:space="preserve">overlap – double counting patients can inflate the effect estimates. </w:t>
      </w:r>
      <w:r w:rsidR="00ED1652">
        <w:t>I’ll return to the issue of o</w:t>
      </w:r>
      <w:r w:rsidR="005408BB">
        <w:t>verlapping patient pop</w:t>
      </w:r>
      <w:r w:rsidR="00ED1652">
        <w:t xml:space="preserve">ulations in a later </w:t>
      </w:r>
      <w:bookmarkStart w:id="0" w:name="_GoBack"/>
      <w:bookmarkEnd w:id="0"/>
      <w:r w:rsidR="00ED1652">
        <w:t>post.</w:t>
      </w:r>
      <w:r w:rsidR="00107798">
        <w:t xml:space="preserve"> </w:t>
      </w:r>
      <w:r>
        <w:t xml:space="preserve"> </w:t>
      </w:r>
    </w:p>
    <w:p w:rsidR="0081524B" w:rsidRDefault="0081524B" w:rsidP="00D058D1"/>
    <w:p w:rsidR="0020284E" w:rsidRDefault="00763B77" w:rsidP="00801468">
      <w:pPr>
        <w:rPr>
          <w:rFonts w:eastAsiaTheme="majorEastAsia" w:cstheme="majorBidi"/>
          <w:szCs w:val="24"/>
        </w:rPr>
      </w:pPr>
      <w:r>
        <w:rPr>
          <w:rFonts w:ascii="Times New Roman" w:hAnsi="Times New Roman" w:cs="Times New Roman"/>
          <w:noProof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1356995</wp:posOffset>
                </wp:positionH>
                <wp:positionV relativeFrom="paragraph">
                  <wp:posOffset>195580</wp:posOffset>
                </wp:positionV>
                <wp:extent cx="3139440" cy="2072640"/>
                <wp:effectExtent l="0" t="0" r="22860" b="2286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440" cy="207264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673" w:rsidRDefault="00E97673" w:rsidP="00E97673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 xml:space="preserve">Here’s a tip…. </w:t>
                            </w:r>
                          </w:p>
                          <w:p w:rsidR="00E97673" w:rsidRDefault="00E97673" w:rsidP="00E9767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97673" w:rsidRDefault="00F054D5" w:rsidP="00F569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Standard errors of beta coefficients can be calculated from t values and confidence intervals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left:0;text-align:left;margin-left:106.85pt;margin-top:15.4pt;width:247.2pt;height:16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" fillcolor="#f7caac [1301]" strokecolor="#1f4d78 [1604]" strokeweight="1pt">
                <v:stroke joinstyle="miter"/>
                <v:textbox>
                  <w:txbxContent>
                    <w:p w:rsidR="00E97673" w:rsidRDefault="00E97673" w:rsidP="00E97673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 xml:space="preserve">Here’s a tip…. </w:t>
                      </w:r>
                    </w:p>
                    <w:p w:rsidR="00E97673" w:rsidRDefault="00E97673" w:rsidP="00E9767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97673" w:rsidRDefault="00F054D5" w:rsidP="00F569F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Standard errors of beta coefficients can be calculated from t values and confidence intervals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FB5D34" w:rsidRDefault="00FB5D34" w:rsidP="00FB5D34">
      <w:pPr>
        <w:rPr>
          <w:rFonts w:eastAsiaTheme="majorEastAsia" w:cstheme="majorBidi"/>
          <w:szCs w:val="24"/>
        </w:rPr>
      </w:pPr>
      <w:r w:rsidRPr="00801468">
        <w:rPr>
          <w:rFonts w:eastAsiaTheme="majorEastAsia" w:cstheme="majorBidi"/>
          <w:szCs w:val="24"/>
        </w:rPr>
        <w:t>In</w:t>
      </w:r>
      <w:r>
        <w:rPr>
          <w:rFonts w:eastAsiaTheme="majorEastAsia" w:cstheme="majorBidi"/>
          <w:szCs w:val="24"/>
        </w:rPr>
        <w:t xml:space="preserve"> my next post I will show how to pool data from studies reporting categorical risk data with different numbers of categories and different thresholds.</w:t>
      </w:r>
    </w:p>
    <w:p w:rsidR="00FB5D34" w:rsidRDefault="00FB5D34" w:rsidP="00FB5D34">
      <w:pPr>
        <w:rPr>
          <w:rFonts w:eastAsiaTheme="majorEastAsia" w:cstheme="majorBidi"/>
          <w:szCs w:val="24"/>
        </w:rPr>
      </w:pPr>
      <w:r>
        <w:rPr>
          <w:rFonts w:eastAsiaTheme="majorEastAsia" w:cstheme="majorBidi"/>
          <w:szCs w:val="24"/>
        </w:rPr>
        <w:t xml:space="preserve"> </w:t>
      </w: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20284E" w:rsidRDefault="0020284E" w:rsidP="00801468">
      <w:pPr>
        <w:rPr>
          <w:rFonts w:eastAsiaTheme="majorEastAsia" w:cstheme="majorBidi"/>
          <w:szCs w:val="24"/>
        </w:rPr>
      </w:pPr>
    </w:p>
    <w:p w:rsidR="0081524B" w:rsidRDefault="0081524B" w:rsidP="00801468">
      <w:pPr>
        <w:rPr>
          <w:rFonts w:eastAsiaTheme="majorEastAsia" w:cstheme="majorBidi"/>
          <w:szCs w:val="24"/>
        </w:rPr>
      </w:pPr>
    </w:p>
    <w:p w:rsidR="0081524B" w:rsidRDefault="0081524B" w:rsidP="00801468">
      <w:pPr>
        <w:rPr>
          <w:rFonts w:eastAsiaTheme="majorEastAsia" w:cstheme="majorBidi"/>
          <w:szCs w:val="24"/>
        </w:rPr>
      </w:pPr>
    </w:p>
    <w:p w:rsidR="0081524B" w:rsidRDefault="0081524B" w:rsidP="00801468">
      <w:pPr>
        <w:rPr>
          <w:rFonts w:eastAsiaTheme="majorEastAsia" w:cstheme="majorBidi"/>
          <w:szCs w:val="24"/>
        </w:rPr>
      </w:pPr>
    </w:p>
    <w:p w:rsidR="0081524B" w:rsidRDefault="0081524B" w:rsidP="00801468">
      <w:pPr>
        <w:rPr>
          <w:rFonts w:eastAsiaTheme="majorEastAsia" w:cstheme="majorBidi"/>
          <w:szCs w:val="24"/>
        </w:rPr>
      </w:pPr>
    </w:p>
    <w:p w:rsidR="0081524B" w:rsidRDefault="0081524B" w:rsidP="00801468">
      <w:pPr>
        <w:rPr>
          <w:rFonts w:eastAsiaTheme="majorEastAsia" w:cstheme="majorBidi"/>
          <w:szCs w:val="24"/>
        </w:rPr>
      </w:pPr>
    </w:p>
    <w:p w:rsidR="0081524B" w:rsidRDefault="0081524B" w:rsidP="00801468">
      <w:pPr>
        <w:rPr>
          <w:rFonts w:eastAsiaTheme="majorEastAsia" w:cstheme="majorBidi"/>
          <w:szCs w:val="24"/>
        </w:rPr>
      </w:pPr>
    </w:p>
    <w:p w:rsidR="0081524B" w:rsidRDefault="0081524B" w:rsidP="00801468">
      <w:pPr>
        <w:rPr>
          <w:rFonts w:eastAsiaTheme="majorEastAsia" w:cstheme="majorBidi"/>
          <w:szCs w:val="24"/>
        </w:rPr>
      </w:pPr>
    </w:p>
    <w:p w:rsidR="00144D03" w:rsidRPr="00144D03" w:rsidRDefault="009B0CF7" w:rsidP="005868D1">
      <w:pPr>
        <w:rPr>
          <w:rFonts w:asciiTheme="majorHAnsi" w:eastAsiaTheme="majorEastAsia" w:hAnsiTheme="majorHAnsi" w:cstheme="majorBidi"/>
          <w:i/>
          <w:sz w:val="26"/>
          <w:szCs w:val="26"/>
        </w:rPr>
      </w:pPr>
      <w:r>
        <w:rPr>
          <w:rFonts w:asciiTheme="majorHAnsi" w:eastAsiaTheme="majorEastAsia" w:hAnsiTheme="majorHAnsi" w:cstheme="majorBidi"/>
          <w:i/>
          <w:noProof/>
          <w:sz w:val="26"/>
          <w:szCs w:val="26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216323</wp:posOffset>
                </wp:positionV>
                <wp:extent cx="6534150" cy="8805333"/>
                <wp:effectExtent l="0" t="0" r="1905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88053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8B9FE2" id="Rectangle 18" o:spid="_x0000_s1026" style="position:absolute;margin-left:463.3pt;margin-top:17.05pt;width:514.5pt;height:69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" filled="f" strokecolor="#1f4d78 [1604]" strokeweight="1pt">
                <w10:wrap anchorx="margin"/>
              </v:rect>
            </w:pict>
          </mc:Fallback>
        </mc:AlternateContent>
      </w:r>
    </w:p>
    <w:p w:rsidR="00F364DA" w:rsidRPr="00144D03" w:rsidRDefault="00F364DA" w:rsidP="00A33749">
      <w:pPr>
        <w:jc w:val="left"/>
        <w:rPr>
          <w:rFonts w:asciiTheme="majorHAnsi" w:eastAsiaTheme="majorEastAsia" w:hAnsiTheme="majorHAnsi" w:cstheme="majorBidi"/>
          <w:i/>
          <w:sz w:val="26"/>
          <w:szCs w:val="26"/>
        </w:rPr>
      </w:pPr>
      <w:r w:rsidRPr="00144D03">
        <w:rPr>
          <w:rFonts w:asciiTheme="majorHAnsi" w:eastAsiaTheme="majorEastAsia" w:hAnsiTheme="majorHAnsi" w:cstheme="majorBidi"/>
          <w:i/>
          <w:sz w:val="26"/>
          <w:szCs w:val="26"/>
        </w:rPr>
        <w:t>Where d</w:t>
      </w:r>
      <w:r w:rsidR="00062810" w:rsidRPr="00144D03">
        <w:rPr>
          <w:rFonts w:asciiTheme="majorHAnsi" w:eastAsiaTheme="majorEastAsia" w:hAnsiTheme="majorHAnsi" w:cstheme="majorBidi"/>
          <w:i/>
          <w:sz w:val="26"/>
          <w:szCs w:val="26"/>
        </w:rPr>
        <w:t>id</w:t>
      </w:r>
      <w:r w:rsidRPr="00144D03">
        <w:rPr>
          <w:rFonts w:asciiTheme="majorHAnsi" w:eastAsiaTheme="majorEastAsia" w:hAnsiTheme="majorHAnsi" w:cstheme="majorBidi"/>
          <w:i/>
          <w:sz w:val="26"/>
          <w:szCs w:val="26"/>
        </w:rPr>
        <w:t xml:space="preserve"> the equation</w:t>
      </w:r>
      <w:r w:rsidR="00062810" w:rsidRPr="00144D03">
        <w:rPr>
          <w:rFonts w:asciiTheme="majorHAnsi" w:eastAsiaTheme="majorEastAsia" w:hAnsiTheme="majorHAnsi" w:cstheme="majorBidi"/>
          <w:i/>
          <w:sz w:val="26"/>
          <w:szCs w:val="26"/>
        </w:rPr>
        <w:t>s</w:t>
      </w:r>
      <w:r w:rsidRPr="00144D03">
        <w:rPr>
          <w:rFonts w:asciiTheme="majorHAnsi" w:eastAsiaTheme="majorEastAsia" w:hAnsiTheme="majorHAnsi" w:cstheme="majorBidi"/>
          <w:i/>
          <w:sz w:val="26"/>
          <w:szCs w:val="26"/>
        </w:rPr>
        <w:t xml:space="preserve"> come from?</w:t>
      </w:r>
    </w:p>
    <w:p w:rsidR="00F364DA" w:rsidRDefault="00F364DA" w:rsidP="00F364DA">
      <w:pPr>
        <w:rPr>
          <w:sz w:val="20"/>
          <w:szCs w:val="20"/>
        </w:rPr>
      </w:pPr>
      <w:r w:rsidRPr="00F364DA">
        <w:rPr>
          <w:sz w:val="20"/>
          <w:szCs w:val="20"/>
        </w:rPr>
        <w:t>(You can skip this if you are only interested in carrying out the calculations)</w:t>
      </w:r>
    </w:p>
    <w:p w:rsidR="00AE31FA" w:rsidRDefault="00AE31FA" w:rsidP="00BC53D2"/>
    <w:p w:rsidR="00BC53D2" w:rsidRDefault="00AE31FA" w:rsidP="00BC53D2">
      <m:oMath>
        <m:r>
          <w:rPr>
            <w:rFonts w:ascii="Cambria Math" w:hAnsi="Cambria Math"/>
          </w:rPr>
          <m:t>t value=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beta</m:t>
            </m:r>
          </m:num>
          <m:den>
            <m:r>
              <w:rPr>
                <w:rFonts w:ascii="Cambria Math" w:hAnsi="Cambria Math"/>
              </w:rPr>
              <m:t>SE of beta</m:t>
            </m:r>
          </m:den>
        </m:f>
      </m:oMath>
      <w:r>
        <w:t xml:space="preserve"> </w:t>
      </w:r>
    </w:p>
    <w:p w:rsidR="00AE31FA" w:rsidRDefault="00AE31FA" w:rsidP="00BC53D2">
      <w:r>
        <w:t xml:space="preserve">This can be rearranged to </w:t>
      </w:r>
    </w:p>
    <w:p w:rsidR="00AE31FA" w:rsidRDefault="00AE31FA" w:rsidP="00AE31FA">
      <m:oMath>
        <m:r>
          <w:rPr>
            <w:rFonts w:ascii="Cambria Math" w:hAnsi="Cambria Math"/>
          </w:rPr>
          <m:t>SE of beta=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beta</m:t>
            </m:r>
          </m:num>
          <m:den>
            <m:r>
              <w:rPr>
                <w:rFonts w:ascii="Cambria Math" w:hAnsi="Cambria Math"/>
              </w:rPr>
              <m:t>t value</m:t>
            </m:r>
          </m:den>
        </m:f>
      </m:oMath>
      <w:r>
        <w:t xml:space="preserve"> </w:t>
      </w:r>
    </w:p>
    <w:p w:rsidR="00AE31FA" w:rsidRDefault="00AE31FA" w:rsidP="00BC53D2"/>
    <w:p w:rsidR="004B06A1" w:rsidRDefault="004B06A1" w:rsidP="00BC53D2">
      <w:r>
        <w:t xml:space="preserve">A 95% confidence interval is  </w:t>
      </w:r>
      <m:oMath>
        <m:r>
          <w:rPr>
            <w:rFonts w:ascii="Cambria Math" w:hAnsi="Cambria Math"/>
          </w:rPr>
          <m:t>mean ±1.96 ×SE</m:t>
        </m:r>
      </m:oMath>
      <w:r>
        <w:rPr>
          <w:rFonts w:eastAsiaTheme="minorEastAsia"/>
        </w:rPr>
        <w:t xml:space="preserve"> </w:t>
      </w:r>
    </w:p>
    <w:p w:rsidR="00840D98" w:rsidRPr="00840D98" w:rsidRDefault="004B06A1" w:rsidP="00BC53D2">
      <w:pPr>
        <w:rPr>
          <w:rFonts w:eastAsiaTheme="minorEastAsia"/>
        </w:rPr>
      </w:pPr>
      <w:r>
        <w:t>Therefore</w:t>
      </w:r>
    </w:p>
    <w:p w:rsidR="004B06A1" w:rsidRPr="00840D98" w:rsidRDefault="004B06A1" w:rsidP="00BC53D2">
      <m:oMathPara>
        <m:oMathParaPr>
          <m:jc m:val="left"/>
        </m:oMathParaPr>
        <m:oMath>
          <m:r>
            <w:rPr>
              <w:rFonts w:ascii="Cambria Math" w:hAnsi="Cambria Math"/>
            </w:rPr>
            <m:t>upperCI=mean+1.96 ×SE</m:t>
          </m:r>
        </m:oMath>
      </m:oMathPara>
    </w:p>
    <w:p w:rsidR="004B06A1" w:rsidRPr="00840D98" w:rsidRDefault="004B06A1" w:rsidP="004B06A1">
      <m:oMathPara>
        <m:oMathParaPr>
          <m:jc m:val="left"/>
        </m:oMathParaPr>
        <m:oMath>
          <m:r>
            <w:rPr>
              <w:rFonts w:ascii="Cambria Math" w:hAnsi="Cambria Math"/>
            </w:rPr>
            <m:t>lowerCI=mean- 1.96 ×SE</m:t>
          </m:r>
        </m:oMath>
      </m:oMathPara>
    </w:p>
    <w:p w:rsidR="00EA5334" w:rsidRPr="00840D98" w:rsidRDefault="00840D98" w:rsidP="008758B4">
      <w:pPr>
        <w:rPr>
          <w:noProof/>
          <w:lang w:eastAsia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en-GB"/>
            </w:rPr>
            <m:t>⇒upperCI-lowerCI=3.92×SE</m:t>
          </m:r>
        </m:oMath>
      </m:oMathPara>
    </w:p>
    <w:p w:rsidR="00D60E19" w:rsidRPr="00840D98" w:rsidRDefault="00840D98" w:rsidP="008758B4">
      <w:pPr>
        <w:rPr>
          <w:rFonts w:eastAsiaTheme="minorEastAsia"/>
          <w:noProof/>
          <w:lang w:eastAsia="en-GB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lang w:eastAsia="en-GB"/>
            </w:rPr>
            <m:t>⇒SE=</m:t>
          </m:r>
          <m:f>
            <m:fPr>
              <m:ctrlPr>
                <w:rPr>
                  <w:rFonts w:ascii="Cambria Math" w:hAnsi="Cambria Math"/>
                  <w:i/>
                  <w:noProof/>
                  <w:lang w:eastAsia="en-GB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en-GB"/>
                </w:rPr>
                <m:t>upperCI-lowerCI</m:t>
              </m:r>
            </m:num>
            <m:den>
              <m:r>
                <w:rPr>
                  <w:rFonts w:ascii="Cambria Math" w:hAnsi="Cambria Math"/>
                  <w:noProof/>
                  <w:lang w:eastAsia="en-GB"/>
                </w:rPr>
                <m:t>3.92</m:t>
              </m:r>
            </m:den>
          </m:f>
        </m:oMath>
      </m:oMathPara>
    </w:p>
    <w:p w:rsidR="0020284E" w:rsidRDefault="00840D98" w:rsidP="008758B4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 xml:space="preserve">This equation applies to any </w:t>
      </w:r>
      <w:r w:rsidR="0020284E">
        <w:rPr>
          <w:rFonts w:eastAsiaTheme="minorEastAsia"/>
          <w:noProof/>
          <w:lang w:eastAsia="en-GB"/>
        </w:rPr>
        <w:t xml:space="preserve">symmetric </w:t>
      </w:r>
      <w:r>
        <w:rPr>
          <w:rFonts w:eastAsiaTheme="minorEastAsia"/>
          <w:noProof/>
          <w:lang w:eastAsia="en-GB"/>
        </w:rPr>
        <w:t>95% confidence interval</w:t>
      </w:r>
      <w:r w:rsidR="0020284E">
        <w:rPr>
          <w:rFonts w:eastAsiaTheme="minorEastAsia"/>
          <w:noProof/>
          <w:lang w:eastAsia="en-GB"/>
        </w:rPr>
        <w:t>.</w:t>
      </w:r>
      <w:r>
        <w:rPr>
          <w:rFonts w:eastAsiaTheme="minorEastAsia"/>
          <w:noProof/>
          <w:lang w:eastAsia="en-GB"/>
        </w:rPr>
        <w:t xml:space="preserve"> </w:t>
      </w:r>
    </w:p>
    <w:p w:rsidR="001A5106" w:rsidRDefault="001A5106" w:rsidP="008758B4">
      <w:pPr>
        <w:rPr>
          <w:rFonts w:eastAsiaTheme="minorEastAsia"/>
          <w:noProof/>
          <w:lang w:eastAsia="en-GB"/>
        </w:rPr>
      </w:pPr>
      <w:r>
        <w:rPr>
          <w:rFonts w:eastAsiaTheme="minorEastAsia"/>
          <w:noProof/>
          <w:lang w:eastAsia="en-GB"/>
        </w:rPr>
        <w:t>As</w:t>
      </w:r>
      <w:r w:rsidR="00B95332">
        <w:rPr>
          <w:rFonts w:eastAsiaTheme="minorEastAsia"/>
          <w:noProof/>
          <w:lang w:eastAsia="en-GB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lang w:eastAsia="en-GB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eastAsia="en-GB"/>
              </w:rPr>
              <m:t>HR</m:t>
            </m:r>
          </m:e>
          <m:sub>
            <m:r>
              <w:rPr>
                <w:rFonts w:ascii="Cambria Math" w:eastAsiaTheme="minorEastAsia" w:hAnsi="Cambria Math"/>
                <w:noProof/>
                <w:lang w:eastAsia="en-GB"/>
              </w:rPr>
              <m:t xml:space="preserve">x </m:t>
            </m:r>
          </m:sub>
        </m:sSub>
      </m:oMath>
      <w:r>
        <w:rPr>
          <w:rFonts w:eastAsiaTheme="minorEastAsia"/>
          <w:noProof/>
          <w:lang w:eastAsia="en-GB"/>
        </w:rPr>
        <w:t xml:space="preserve">has a confidence interval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  <w:lang w:eastAsia="en-GB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lang w:eastAsia="en-GB"/>
                  </w:rPr>
                  <m:t>lowerCI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lang w:eastAsia="en-GB"/>
                  </w:rPr>
                  <m:t>x</m:t>
                </m:r>
              </m:sub>
            </m:sSub>
            <m:r>
              <w:rPr>
                <w:rFonts w:ascii="Cambria Math" w:eastAsiaTheme="minorEastAsia" w:hAnsi="Cambria Math"/>
                <w:noProof/>
                <w:lang w:eastAsia="en-GB"/>
              </w:rPr>
              <m:t xml:space="preserve"> to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noProof/>
                    <w:lang w:eastAsia="en-GB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noProof/>
                    <w:lang w:eastAsia="en-GB"/>
                  </w:rPr>
                  <m:t>upperCI</m:t>
                </m:r>
              </m:e>
              <m:sub>
                <m:r>
                  <w:rPr>
                    <w:rFonts w:ascii="Cambria Math" w:eastAsiaTheme="minorEastAsia" w:hAnsi="Cambria Math"/>
                    <w:noProof/>
                    <w:lang w:eastAsia="en-GB"/>
                  </w:rPr>
                  <m:t>x</m:t>
                </m:r>
              </m:sub>
            </m:sSub>
          </m:e>
        </m:d>
      </m:oMath>
    </w:p>
    <w:p w:rsidR="001A5106" w:rsidRPr="0013591A" w:rsidRDefault="001A5106" w:rsidP="001A5106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SE of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upperCI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lowerCI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3.92</m:t>
              </m:r>
            </m:den>
          </m:f>
        </m:oMath>
      </m:oMathPara>
    </w:p>
    <w:p w:rsidR="00840D98" w:rsidRPr="00840D98" w:rsidRDefault="00840D98" w:rsidP="008758B4">
      <w:pPr>
        <w:rPr>
          <w:noProof/>
          <w:lang w:eastAsia="en-GB"/>
        </w:rPr>
      </w:pPr>
    </w:p>
    <w:p w:rsidR="00B95332" w:rsidRDefault="0088688E" w:rsidP="00B95332">
      <w:pPr>
        <w:rPr>
          <w:rFonts w:eastAsiaTheme="minorEastAsia"/>
          <w:noProof/>
          <w:lang w:eastAsia="en-GB"/>
        </w:rPr>
      </w:pPr>
      <w:r>
        <w:rPr>
          <w:b/>
        </w:rPr>
        <w:t xml:space="preserve"> </w:t>
      </w:r>
      <w:r w:rsidR="00B95332">
        <w:rPr>
          <w:rFonts w:eastAsiaTheme="minorEastAsia"/>
          <w:noProof/>
          <w:lang w:eastAsia="en-GB"/>
        </w:rPr>
        <w:t xml:space="preserve">As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lang w:eastAsia="en-GB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lang w:eastAsia="en-GB"/>
              </w:rPr>
              <m:t>β</m:t>
            </m:r>
          </m:e>
          <m:sub>
            <m:r>
              <w:rPr>
                <w:rFonts w:ascii="Cambria Math" w:eastAsiaTheme="minorEastAsia" w:hAnsi="Cambria Math"/>
                <w:noProof/>
                <w:lang w:eastAsia="en-GB"/>
              </w:rPr>
              <m:t xml:space="preserve">x </m:t>
            </m:r>
          </m:sub>
        </m:sSub>
      </m:oMath>
      <w:r w:rsidR="00B95332">
        <w:rPr>
          <w:rFonts w:eastAsiaTheme="minorEastAsia"/>
          <w:noProof/>
          <w:lang w:eastAsia="en-GB"/>
        </w:rPr>
        <w:t xml:space="preserve">has a confidence interval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noProof/>
                <w:lang w:eastAsia="en-GB"/>
              </w:rPr>
            </m:ctrlPr>
          </m:dPr>
          <m:e>
            <m:r>
              <w:rPr>
                <w:rFonts w:ascii="Cambria Math" w:eastAsiaTheme="minorEastAsia" w:hAnsi="Cambria Math"/>
                <w:noProof/>
                <w:lang w:eastAsia="en-GB"/>
              </w:rPr>
              <m:t>ln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lang w:eastAsia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lang w:eastAsia="en-GB"/>
                      </w:rPr>
                      <m:t>lowerCI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lang w:eastAsia="en-GB"/>
                      </w:rPr>
                      <m:t>x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noProof/>
                <w:lang w:eastAsia="en-GB"/>
              </w:rPr>
              <m:t xml:space="preserve"> to ln</m:t>
            </m:r>
            <m:d>
              <m:dPr>
                <m:ctrlPr>
                  <w:rPr>
                    <w:rFonts w:ascii="Cambria Math" w:eastAsiaTheme="minorEastAsia" w:hAnsi="Cambria Math"/>
                    <w:i/>
                    <w:noProof/>
                    <w:lang w:eastAsia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noProof/>
                        <w:lang w:eastAsia="en-GB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noProof/>
                        <w:lang w:eastAsia="en-GB"/>
                      </w:rPr>
                      <m:t>upperCI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noProof/>
                        <w:lang w:eastAsia="en-GB"/>
                      </w:rPr>
                      <m:t>x</m:t>
                    </m:r>
                  </m:sub>
                </m:sSub>
              </m:e>
            </m:d>
          </m:e>
        </m:d>
      </m:oMath>
    </w:p>
    <w:p w:rsidR="00B95332" w:rsidRPr="00BA76D0" w:rsidRDefault="00B95332" w:rsidP="00B95332">
      <w:pPr>
        <w:jc w:val="center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SE of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HR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upper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-ln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lowerCI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3.92</m:t>
              </m:r>
            </m:den>
          </m:f>
        </m:oMath>
      </m:oMathPara>
    </w:p>
    <w:p w:rsidR="00BA76D0" w:rsidRDefault="00BA76D0" w:rsidP="00B95332">
      <w:pPr>
        <w:jc w:val="center"/>
        <w:rPr>
          <w:rFonts w:eastAsiaTheme="minorEastAsia"/>
          <w:sz w:val="28"/>
          <w:szCs w:val="28"/>
        </w:rPr>
      </w:pPr>
    </w:p>
    <w:p w:rsidR="00BA76D0" w:rsidRDefault="009B0CF7" w:rsidP="00BA76D0">
      <w:pPr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R</w:t>
      </w:r>
      <w:r w:rsidR="00BA76D0">
        <w:rPr>
          <w:rFonts w:eastAsiaTheme="minorEastAsia"/>
          <w:szCs w:val="24"/>
        </w:rPr>
        <w:t>escaling beta coefficients from a change of x units to y units in the predictor variable</w:t>
      </w:r>
      <w:r w:rsidR="008E0990">
        <w:rPr>
          <w:rFonts w:eastAsiaTheme="minorEastAsia"/>
          <w:szCs w:val="24"/>
        </w:rPr>
        <w:t>,</w:t>
      </w:r>
      <w:r w:rsidR="00BA76D0">
        <w:rPr>
          <w:rFonts w:eastAsiaTheme="minorEastAsia"/>
          <w:szCs w:val="24"/>
        </w:rPr>
        <w:t xml:space="preserve"> </w:t>
      </w:r>
    </w:p>
    <w:p w:rsidR="0020284E" w:rsidRDefault="0020284E" w:rsidP="0020284E">
      <w:pPr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SE of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=y×SE</m:t>
          </m:r>
        </m:oMath>
      </m:oMathPara>
    </w:p>
    <w:p w:rsidR="00BA76D0" w:rsidRPr="0039648E" w:rsidRDefault="00BA76D0" w:rsidP="00BA76D0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SE of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</w:rPr>
            <m:t>=y×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beta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t value</m:t>
              </m:r>
            </m:den>
          </m:f>
        </m:oMath>
      </m:oMathPara>
    </w:p>
    <w:p w:rsidR="00BA76D0" w:rsidRDefault="0020284E" w:rsidP="009B0CF7">
      <w:pPr>
        <w:jc w:val="left"/>
      </w:pPr>
      <w:proofErr w:type="gramStart"/>
      <w:r>
        <w:t>both</w:t>
      </w:r>
      <w:proofErr w:type="gramEnd"/>
      <w:r>
        <w:t xml:space="preserve"> </w:t>
      </w:r>
      <w:r w:rsidR="009B0CF7">
        <w:t>f</w:t>
      </w:r>
      <w:r w:rsidR="00BA76D0">
        <w:t xml:space="preserve">ollow on from the </w:t>
      </w:r>
      <w:r w:rsidR="00BA76D0">
        <w:rPr>
          <w:rFonts w:eastAsiaTheme="minorEastAsia"/>
          <w:szCs w:val="24"/>
        </w:rPr>
        <w:t xml:space="preserve">explanation I gave </w:t>
      </w:r>
      <w:r w:rsidR="009B0CF7">
        <w:rPr>
          <w:rFonts w:eastAsiaTheme="minorEastAsia"/>
          <w:szCs w:val="24"/>
        </w:rPr>
        <w:t>in my</w:t>
      </w:r>
      <w:r w:rsidR="00BA76D0">
        <w:rPr>
          <w:rFonts w:eastAsiaTheme="minorEastAsia"/>
          <w:szCs w:val="24"/>
        </w:rPr>
        <w:t xml:space="preserve"> last post </w:t>
      </w:r>
      <w:r w:rsidR="00BA76D0">
        <w:t>(&lt;link&gt;EBHC KT blog post 5&lt;/link&gt;) for</w:t>
      </w:r>
    </w:p>
    <w:p w:rsidR="00BA76D0" w:rsidRDefault="00BA76D0" w:rsidP="00BA76D0">
      <w:pPr>
        <w:jc w:val="center"/>
      </w:pPr>
      <w:r>
        <w:rPr>
          <w:noProof/>
          <w:lang w:eastAsia="zh-CN"/>
        </w:rPr>
        <w:drawing>
          <wp:inline distT="0" distB="0" distL="0" distR="0" wp14:anchorId="3BC773C5" wp14:editId="6DB12641">
            <wp:extent cx="2532945" cy="295525"/>
            <wp:effectExtent l="0" t="0" r="0" b="9525"/>
            <wp:docPr id="3095" name="Picture 3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63" cy="313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CF7" w:rsidRDefault="00BA76D0" w:rsidP="009B0CF7">
      <w:pPr>
        <w:jc w:val="left"/>
      </w:pPr>
      <w:r>
        <w:t xml:space="preserve">The same applies for </w:t>
      </w:r>
    </w:p>
    <w:p w:rsidR="00BA76D0" w:rsidRPr="0039648E" w:rsidRDefault="00BA76D0" w:rsidP="00BA76D0">
      <w:pPr>
        <w:jc w:val="center"/>
        <w:rPr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 xml:space="preserve">SE of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β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upperCI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-ln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lowerCI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x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3.92</m:t>
              </m:r>
            </m:den>
          </m:f>
        </m:oMath>
      </m:oMathPara>
    </w:p>
    <w:p w:rsidR="00BA76D0" w:rsidRPr="008372EE" w:rsidRDefault="009B0CF7" w:rsidP="009B0CF7">
      <w:pPr>
        <w:jc w:val="left"/>
        <w:rPr>
          <w:szCs w:val="24"/>
        </w:rPr>
      </w:pPr>
      <w:proofErr w:type="gramStart"/>
      <w:r>
        <w:rPr>
          <w:szCs w:val="24"/>
        </w:rPr>
        <w:t>which</w:t>
      </w:r>
      <w:proofErr w:type="gramEnd"/>
      <w:r>
        <w:rPr>
          <w:szCs w:val="24"/>
        </w:rPr>
        <w:t xml:space="preserve"> follows on from the explanation given for</w:t>
      </w:r>
    </w:p>
    <w:p w:rsidR="00BA76D0" w:rsidRDefault="00BA76D0" w:rsidP="00BA76D0">
      <w:pPr>
        <w:jc w:val="center"/>
      </w:pPr>
      <w:r>
        <w:rPr>
          <w:noProof/>
          <w:lang w:eastAsia="zh-CN"/>
        </w:rPr>
        <w:drawing>
          <wp:inline distT="0" distB="0" distL="0" distR="0" wp14:anchorId="37D3B706" wp14:editId="50213A32">
            <wp:extent cx="2268776" cy="397191"/>
            <wp:effectExtent l="0" t="0" r="0" b="3175"/>
            <wp:docPr id="3092" name="Picture 3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34" cy="418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6D0" w:rsidRDefault="00BA76D0" w:rsidP="00BA76D0">
      <w:pPr>
        <w:jc w:val="center"/>
      </w:pPr>
    </w:p>
    <w:p w:rsidR="00BA76D0" w:rsidRPr="0013591A" w:rsidRDefault="00BA76D0" w:rsidP="00B95332">
      <w:pPr>
        <w:jc w:val="center"/>
        <w:rPr>
          <w:rFonts w:eastAsiaTheme="minorEastAsia"/>
          <w:sz w:val="28"/>
          <w:szCs w:val="28"/>
        </w:rPr>
      </w:pPr>
    </w:p>
    <w:p w:rsidR="00F61465" w:rsidRDefault="00F61465" w:rsidP="00F61465">
      <w:pPr>
        <w:jc w:val="left"/>
        <w:rPr>
          <w:b/>
        </w:rPr>
      </w:pPr>
      <w:r>
        <w:rPr>
          <w:b/>
        </w:rPr>
        <w:lastRenderedPageBreak/>
        <w:t xml:space="preserve">Dr Kathy Taylor teaches data extraction in Meta-analysis, </w:t>
      </w:r>
      <w:hyperlink r:id="rId15" w:history="1">
        <w:r w:rsidRPr="00444C0C">
          <w:rPr>
            <w:rStyle w:val="Hyperlink"/>
            <w:b/>
          </w:rPr>
          <w:t>https://www.conted.ox.ac.uk/courses/meta-analysis&lt;/link</w:t>
        </w:r>
      </w:hyperlink>
      <w:r>
        <w:rPr>
          <w:b/>
        </w:rPr>
        <w:t xml:space="preserve">&gt; </w:t>
      </w:r>
      <w:proofErr w:type="gramStart"/>
      <w:r>
        <w:rPr>
          <w:b/>
        </w:rPr>
        <w:t>This</w:t>
      </w:r>
      <w:proofErr w:type="gramEnd"/>
      <w:r>
        <w:rPr>
          <w:b/>
        </w:rPr>
        <w:t xml:space="preserve"> is a short course that is also available as part of our MSc in Evidence-Based Health Care </w:t>
      </w:r>
    </w:p>
    <w:p w:rsidR="00F61465" w:rsidRDefault="002B1924" w:rsidP="00F61465">
      <w:pPr>
        <w:jc w:val="left"/>
        <w:rPr>
          <w:b/>
        </w:rPr>
      </w:pPr>
      <w:hyperlink r:id="rId16" w:history="1">
        <w:r w:rsidR="00F61465" w:rsidRPr="00444C0C">
          <w:rPr>
            <w:rStyle w:val="Hyperlink"/>
            <w:b/>
          </w:rPr>
          <w:t>https://www.conted.ox.ac.uk/about/msc-in-evidence-based-health-care</w:t>
        </w:r>
      </w:hyperlink>
      <w:r w:rsidR="00F61465">
        <w:rPr>
          <w:b/>
        </w:rPr>
        <w:t xml:space="preserve">, MSc in Medical Statistics </w:t>
      </w:r>
    </w:p>
    <w:p w:rsidR="00F61465" w:rsidRDefault="002B1924" w:rsidP="00F61465">
      <w:pPr>
        <w:jc w:val="left"/>
        <w:rPr>
          <w:b/>
        </w:rPr>
      </w:pPr>
      <w:hyperlink r:id="rId17" w:history="1">
        <w:r w:rsidR="00F61465" w:rsidRPr="00444C0C">
          <w:rPr>
            <w:rStyle w:val="Hyperlink"/>
            <w:b/>
          </w:rPr>
          <w:t>https://www.conted.ox.ac.uk/about/msc-in-ebhc-medical-statistics</w:t>
        </w:r>
      </w:hyperlink>
      <w:r w:rsidR="00F61465">
        <w:rPr>
          <w:b/>
        </w:rPr>
        <w:t xml:space="preserve">, and MSc in Systematic Reviews </w:t>
      </w:r>
    </w:p>
    <w:p w:rsidR="00F61465" w:rsidRDefault="002B1924" w:rsidP="00F61465">
      <w:pPr>
        <w:jc w:val="left"/>
        <w:rPr>
          <w:b/>
        </w:rPr>
      </w:pPr>
      <w:hyperlink r:id="rId18" w:history="1">
        <w:r w:rsidR="00F61465" w:rsidRPr="00444C0C">
          <w:rPr>
            <w:rStyle w:val="Hyperlink"/>
            <w:b/>
          </w:rPr>
          <w:t>https://www.conted.ox.ac.uk/about/msc-in-ebhc-systematic-reviews</w:t>
        </w:r>
      </w:hyperlink>
    </w:p>
    <w:p w:rsidR="00F61465" w:rsidRDefault="00F61465" w:rsidP="00F61465">
      <w:pPr>
        <w:rPr>
          <w:b/>
        </w:rPr>
      </w:pPr>
    </w:p>
    <w:p w:rsidR="00F61465" w:rsidRPr="00430366" w:rsidRDefault="00F61465" w:rsidP="00F61465">
      <w:pPr>
        <w:rPr>
          <w:b/>
        </w:rPr>
      </w:pPr>
      <w:r>
        <w:rPr>
          <w:b/>
        </w:rPr>
        <w:t>Follow updates on this blog and related news on Twitter @</w:t>
      </w:r>
      <w:proofErr w:type="spellStart"/>
      <w:r>
        <w:rPr>
          <w:b/>
        </w:rPr>
        <w:t>dataextips</w:t>
      </w:r>
      <w:proofErr w:type="spellEnd"/>
    </w:p>
    <w:p w:rsidR="000F3DCD" w:rsidRDefault="000F3DCD" w:rsidP="00F61465"/>
    <w:sectPr w:rsidR="000F3DCD" w:rsidSect="00E714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60E"/>
    <w:multiLevelType w:val="hybridMultilevel"/>
    <w:tmpl w:val="FD0431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58F7"/>
    <w:multiLevelType w:val="hybridMultilevel"/>
    <w:tmpl w:val="76924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20066"/>
    <w:multiLevelType w:val="hybridMultilevel"/>
    <w:tmpl w:val="11203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4751F"/>
    <w:multiLevelType w:val="hybridMultilevel"/>
    <w:tmpl w:val="FBE41A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C0092"/>
    <w:multiLevelType w:val="hybridMultilevel"/>
    <w:tmpl w:val="C0A2A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A0"/>
    <w:rsid w:val="00007277"/>
    <w:rsid w:val="00010602"/>
    <w:rsid w:val="00030E37"/>
    <w:rsid w:val="0003161B"/>
    <w:rsid w:val="0004354A"/>
    <w:rsid w:val="000502DA"/>
    <w:rsid w:val="00062810"/>
    <w:rsid w:val="00072FF1"/>
    <w:rsid w:val="00077850"/>
    <w:rsid w:val="00081903"/>
    <w:rsid w:val="0008515A"/>
    <w:rsid w:val="000875BC"/>
    <w:rsid w:val="000A31E7"/>
    <w:rsid w:val="000A72C7"/>
    <w:rsid w:val="000C3186"/>
    <w:rsid w:val="000C5427"/>
    <w:rsid w:val="000D08E4"/>
    <w:rsid w:val="000D6955"/>
    <w:rsid w:val="000E1D35"/>
    <w:rsid w:val="000F3DCD"/>
    <w:rsid w:val="00107798"/>
    <w:rsid w:val="0011090E"/>
    <w:rsid w:val="001125AC"/>
    <w:rsid w:val="00112F97"/>
    <w:rsid w:val="00131C6D"/>
    <w:rsid w:val="0013591A"/>
    <w:rsid w:val="00144D03"/>
    <w:rsid w:val="001475B0"/>
    <w:rsid w:val="001577D9"/>
    <w:rsid w:val="00164538"/>
    <w:rsid w:val="00165841"/>
    <w:rsid w:val="00165953"/>
    <w:rsid w:val="0017670D"/>
    <w:rsid w:val="00197F74"/>
    <w:rsid w:val="001A2BE8"/>
    <w:rsid w:val="001A5106"/>
    <w:rsid w:val="001A75D3"/>
    <w:rsid w:val="001C09D5"/>
    <w:rsid w:val="001C1D89"/>
    <w:rsid w:val="001C4A6A"/>
    <w:rsid w:val="001D2705"/>
    <w:rsid w:val="001D7919"/>
    <w:rsid w:val="001F00A0"/>
    <w:rsid w:val="001F397C"/>
    <w:rsid w:val="0020157D"/>
    <w:rsid w:val="0020284E"/>
    <w:rsid w:val="0021794F"/>
    <w:rsid w:val="0022029A"/>
    <w:rsid w:val="00226CC2"/>
    <w:rsid w:val="0027393E"/>
    <w:rsid w:val="00274D67"/>
    <w:rsid w:val="00285A6D"/>
    <w:rsid w:val="002860CD"/>
    <w:rsid w:val="002922C3"/>
    <w:rsid w:val="00296359"/>
    <w:rsid w:val="002967CB"/>
    <w:rsid w:val="002A0714"/>
    <w:rsid w:val="002A3B34"/>
    <w:rsid w:val="002B1924"/>
    <w:rsid w:val="002B6D91"/>
    <w:rsid w:val="002C35B6"/>
    <w:rsid w:val="002D5228"/>
    <w:rsid w:val="002E4DD4"/>
    <w:rsid w:val="002E5A7E"/>
    <w:rsid w:val="00302055"/>
    <w:rsid w:val="00305F0E"/>
    <w:rsid w:val="00316795"/>
    <w:rsid w:val="00331DBD"/>
    <w:rsid w:val="003378D4"/>
    <w:rsid w:val="003463E4"/>
    <w:rsid w:val="00356FF5"/>
    <w:rsid w:val="003629B6"/>
    <w:rsid w:val="0037154F"/>
    <w:rsid w:val="00371AF1"/>
    <w:rsid w:val="0039100C"/>
    <w:rsid w:val="0039219A"/>
    <w:rsid w:val="0039648E"/>
    <w:rsid w:val="003B340D"/>
    <w:rsid w:val="003B4968"/>
    <w:rsid w:val="003D5A94"/>
    <w:rsid w:val="003E34A4"/>
    <w:rsid w:val="003E68DD"/>
    <w:rsid w:val="00402452"/>
    <w:rsid w:val="00405021"/>
    <w:rsid w:val="00430366"/>
    <w:rsid w:val="00442D5B"/>
    <w:rsid w:val="00455569"/>
    <w:rsid w:val="0046759A"/>
    <w:rsid w:val="0047759D"/>
    <w:rsid w:val="00477F28"/>
    <w:rsid w:val="004A2803"/>
    <w:rsid w:val="004B06A1"/>
    <w:rsid w:val="004B6831"/>
    <w:rsid w:val="004C04E1"/>
    <w:rsid w:val="004C3AAA"/>
    <w:rsid w:val="004C4709"/>
    <w:rsid w:val="004C65A1"/>
    <w:rsid w:val="004C7BD4"/>
    <w:rsid w:val="004D561C"/>
    <w:rsid w:val="004E0CBB"/>
    <w:rsid w:val="004E32DC"/>
    <w:rsid w:val="004F7602"/>
    <w:rsid w:val="00510A34"/>
    <w:rsid w:val="00514E60"/>
    <w:rsid w:val="005248F0"/>
    <w:rsid w:val="005267FD"/>
    <w:rsid w:val="00532FDC"/>
    <w:rsid w:val="005408BB"/>
    <w:rsid w:val="00540B55"/>
    <w:rsid w:val="005566AB"/>
    <w:rsid w:val="00567608"/>
    <w:rsid w:val="005742E7"/>
    <w:rsid w:val="00584992"/>
    <w:rsid w:val="005868D1"/>
    <w:rsid w:val="0059005A"/>
    <w:rsid w:val="0059269E"/>
    <w:rsid w:val="00594337"/>
    <w:rsid w:val="0059771F"/>
    <w:rsid w:val="005979A9"/>
    <w:rsid w:val="005D7C92"/>
    <w:rsid w:val="005E3D36"/>
    <w:rsid w:val="005E647D"/>
    <w:rsid w:val="005F0D8F"/>
    <w:rsid w:val="006041C7"/>
    <w:rsid w:val="0060455E"/>
    <w:rsid w:val="00622C71"/>
    <w:rsid w:val="00623B6F"/>
    <w:rsid w:val="0063042C"/>
    <w:rsid w:val="00636A06"/>
    <w:rsid w:val="00664E79"/>
    <w:rsid w:val="0066578C"/>
    <w:rsid w:val="006724E5"/>
    <w:rsid w:val="00690B8B"/>
    <w:rsid w:val="006A7260"/>
    <w:rsid w:val="006B41EB"/>
    <w:rsid w:val="006C1360"/>
    <w:rsid w:val="006C37E2"/>
    <w:rsid w:val="006E1FB0"/>
    <w:rsid w:val="006F42E7"/>
    <w:rsid w:val="00701C19"/>
    <w:rsid w:val="0071198B"/>
    <w:rsid w:val="00715001"/>
    <w:rsid w:val="007454BA"/>
    <w:rsid w:val="0076053F"/>
    <w:rsid w:val="0076324B"/>
    <w:rsid w:val="00763B77"/>
    <w:rsid w:val="00767585"/>
    <w:rsid w:val="00772FB5"/>
    <w:rsid w:val="00782E0A"/>
    <w:rsid w:val="00786B52"/>
    <w:rsid w:val="007964D5"/>
    <w:rsid w:val="007B7925"/>
    <w:rsid w:val="007C6129"/>
    <w:rsid w:val="007D6359"/>
    <w:rsid w:val="007F6A87"/>
    <w:rsid w:val="00801468"/>
    <w:rsid w:val="0080752B"/>
    <w:rsid w:val="00814813"/>
    <w:rsid w:val="00814BC4"/>
    <w:rsid w:val="0081524B"/>
    <w:rsid w:val="0083438C"/>
    <w:rsid w:val="00840D98"/>
    <w:rsid w:val="008560A2"/>
    <w:rsid w:val="008611B6"/>
    <w:rsid w:val="008758B4"/>
    <w:rsid w:val="00882410"/>
    <w:rsid w:val="00882B4D"/>
    <w:rsid w:val="00883905"/>
    <w:rsid w:val="0088688E"/>
    <w:rsid w:val="0089457C"/>
    <w:rsid w:val="008A32A0"/>
    <w:rsid w:val="008A5B0D"/>
    <w:rsid w:val="008A740F"/>
    <w:rsid w:val="008B5F09"/>
    <w:rsid w:val="008E0990"/>
    <w:rsid w:val="008F6E27"/>
    <w:rsid w:val="00915889"/>
    <w:rsid w:val="00917C3B"/>
    <w:rsid w:val="009211D8"/>
    <w:rsid w:val="00930913"/>
    <w:rsid w:val="0096160A"/>
    <w:rsid w:val="009774F0"/>
    <w:rsid w:val="00982C01"/>
    <w:rsid w:val="009A003D"/>
    <w:rsid w:val="009B0CF7"/>
    <w:rsid w:val="009C0E5C"/>
    <w:rsid w:val="009D5879"/>
    <w:rsid w:val="009F65AE"/>
    <w:rsid w:val="00A012BD"/>
    <w:rsid w:val="00A11E5C"/>
    <w:rsid w:val="00A27720"/>
    <w:rsid w:val="00A33749"/>
    <w:rsid w:val="00A40425"/>
    <w:rsid w:val="00A632F6"/>
    <w:rsid w:val="00A71B1D"/>
    <w:rsid w:val="00A8019C"/>
    <w:rsid w:val="00A97F28"/>
    <w:rsid w:val="00AA00C1"/>
    <w:rsid w:val="00AB634D"/>
    <w:rsid w:val="00AC44B0"/>
    <w:rsid w:val="00AE0EF5"/>
    <w:rsid w:val="00AE2912"/>
    <w:rsid w:val="00AE31FA"/>
    <w:rsid w:val="00AF3137"/>
    <w:rsid w:val="00B02D1A"/>
    <w:rsid w:val="00B2191C"/>
    <w:rsid w:val="00B2439B"/>
    <w:rsid w:val="00B3000A"/>
    <w:rsid w:val="00B569F9"/>
    <w:rsid w:val="00B6234D"/>
    <w:rsid w:val="00B65BC8"/>
    <w:rsid w:val="00B66588"/>
    <w:rsid w:val="00B749EC"/>
    <w:rsid w:val="00B95332"/>
    <w:rsid w:val="00BA36A7"/>
    <w:rsid w:val="00BA6097"/>
    <w:rsid w:val="00BA76D0"/>
    <w:rsid w:val="00BB36A1"/>
    <w:rsid w:val="00BB40B2"/>
    <w:rsid w:val="00BC2B4B"/>
    <w:rsid w:val="00BC53D2"/>
    <w:rsid w:val="00BD603D"/>
    <w:rsid w:val="00BE5B2C"/>
    <w:rsid w:val="00C269C0"/>
    <w:rsid w:val="00C74642"/>
    <w:rsid w:val="00C859C9"/>
    <w:rsid w:val="00C9049C"/>
    <w:rsid w:val="00C94A37"/>
    <w:rsid w:val="00CA1498"/>
    <w:rsid w:val="00CB4505"/>
    <w:rsid w:val="00CE27F3"/>
    <w:rsid w:val="00CF53D0"/>
    <w:rsid w:val="00CF7C23"/>
    <w:rsid w:val="00D01F34"/>
    <w:rsid w:val="00D023F4"/>
    <w:rsid w:val="00D058D1"/>
    <w:rsid w:val="00D21D1F"/>
    <w:rsid w:val="00D271E7"/>
    <w:rsid w:val="00D32D70"/>
    <w:rsid w:val="00D44283"/>
    <w:rsid w:val="00D55D3D"/>
    <w:rsid w:val="00D608CB"/>
    <w:rsid w:val="00D60E19"/>
    <w:rsid w:val="00D63C0C"/>
    <w:rsid w:val="00D66BB2"/>
    <w:rsid w:val="00D66F28"/>
    <w:rsid w:val="00D764E2"/>
    <w:rsid w:val="00D957C9"/>
    <w:rsid w:val="00DB042F"/>
    <w:rsid w:val="00DB68AD"/>
    <w:rsid w:val="00DE1A9E"/>
    <w:rsid w:val="00DE1F65"/>
    <w:rsid w:val="00DF0F1C"/>
    <w:rsid w:val="00E0240E"/>
    <w:rsid w:val="00E15590"/>
    <w:rsid w:val="00E176B1"/>
    <w:rsid w:val="00E6300E"/>
    <w:rsid w:val="00E7123C"/>
    <w:rsid w:val="00E71487"/>
    <w:rsid w:val="00E9656D"/>
    <w:rsid w:val="00E97064"/>
    <w:rsid w:val="00E97673"/>
    <w:rsid w:val="00EA5334"/>
    <w:rsid w:val="00EB572D"/>
    <w:rsid w:val="00ED1652"/>
    <w:rsid w:val="00EF139C"/>
    <w:rsid w:val="00F054D5"/>
    <w:rsid w:val="00F12295"/>
    <w:rsid w:val="00F16CF7"/>
    <w:rsid w:val="00F219BE"/>
    <w:rsid w:val="00F3196A"/>
    <w:rsid w:val="00F364DA"/>
    <w:rsid w:val="00F515A7"/>
    <w:rsid w:val="00F569FA"/>
    <w:rsid w:val="00F604AA"/>
    <w:rsid w:val="00F61465"/>
    <w:rsid w:val="00F770EF"/>
    <w:rsid w:val="00F83DC1"/>
    <w:rsid w:val="00F94916"/>
    <w:rsid w:val="00F97B7F"/>
    <w:rsid w:val="00FB2ECB"/>
    <w:rsid w:val="00FB5D34"/>
    <w:rsid w:val="00FD2931"/>
    <w:rsid w:val="00FE1672"/>
    <w:rsid w:val="00FE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27753-ED5F-4A39-AABA-FA9F8541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0A0"/>
    <w:pPr>
      <w:spacing w:after="0" w:line="300" w:lineRule="auto"/>
      <w:jc w:val="both"/>
    </w:pPr>
    <w:rPr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00A0"/>
    <w:pPr>
      <w:keepNext/>
      <w:keepLines/>
      <w:outlineLvl w:val="1"/>
    </w:pPr>
    <w:rPr>
      <w:rFonts w:asciiTheme="majorHAnsi" w:eastAsiaTheme="majorEastAsia" w:hAnsiTheme="majorHAnsi" w:cstheme="majorBidi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code">
    <w:name w:val="Compcode"/>
    <w:basedOn w:val="DefaultParagraphFont"/>
    <w:uiPriority w:val="1"/>
    <w:qFormat/>
    <w:rsid w:val="00112F97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1F00A0"/>
    <w:rPr>
      <w:rFonts w:asciiTheme="majorHAnsi" w:eastAsiaTheme="majorEastAsia" w:hAnsiTheme="majorHAnsi" w:cstheme="majorBidi"/>
      <w:i/>
      <w:sz w:val="26"/>
      <w:szCs w:val="26"/>
    </w:rPr>
  </w:style>
  <w:style w:type="table" w:styleId="TableGrid">
    <w:name w:val="Table Grid"/>
    <w:basedOn w:val="TableNormal"/>
    <w:uiPriority w:val="39"/>
    <w:rsid w:val="001F00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67FD"/>
    <w:rPr>
      <w:color w:val="808080"/>
    </w:rPr>
  </w:style>
  <w:style w:type="paragraph" w:styleId="ListParagraph">
    <w:name w:val="List Paragraph"/>
    <w:basedOn w:val="Normal"/>
    <w:uiPriority w:val="34"/>
    <w:qFormat/>
    <w:rsid w:val="005248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8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87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F364D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DefaultParagraphFont"/>
    <w:rsid w:val="00DF0F1C"/>
  </w:style>
  <w:style w:type="character" w:customStyle="1" w:styleId="jrnl">
    <w:name w:val="jrnl"/>
    <w:basedOn w:val="DefaultParagraphFont"/>
    <w:rsid w:val="00081903"/>
  </w:style>
  <w:style w:type="paragraph" w:styleId="NormalWeb">
    <w:name w:val="Normal (Web)"/>
    <w:basedOn w:val="Normal"/>
    <w:uiPriority w:val="99"/>
    <w:semiHidden/>
    <w:unhideWhenUsed/>
    <w:rsid w:val="00BA36A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C542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4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2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CXI9nL.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conted.ox.ac.uk/about/msc-in-ebhc-systematic-reviews" TargetMode="External"/><Relationship Id="rId3" Type="http://schemas.openxmlformats.org/officeDocument/2006/relationships/styles" Target="styles.xml"/><Relationship Id="rId7" Type="http://schemas.openxmlformats.org/officeDocument/2006/relationships/hyperlink" Target="https://bit.ly/2U3jpnS" TargetMode="External"/><Relationship Id="rId12" Type="http://schemas.openxmlformats.org/officeDocument/2006/relationships/hyperlink" Target="https://www.ncbi.nlm.nih.gov/pubmed/14654744" TargetMode="External"/><Relationship Id="rId17" Type="http://schemas.openxmlformats.org/officeDocument/2006/relationships/hyperlink" Target="https://www.conted.ox.ac.uk/about/msc-in-ebhc-medical-statistic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ted.ox.ac.uk/about/msc-in-evidence-based-health-ca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ncbi.nlm.nih.gov/pubmed/202122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ted.ox.ac.uk/courses/meta-analysis%3c/link" TargetMode="External"/><Relationship Id="rId10" Type="http://schemas.openxmlformats.org/officeDocument/2006/relationships/hyperlink" Target="https://www.ncbi.nlm.nih.gov/pubmed/174525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2U3jpnS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7686547-9BBC-4872-B527-8491B666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Stevens</dc:creator>
  <cp:keywords/>
  <dc:description/>
  <cp:lastModifiedBy>kst</cp:lastModifiedBy>
  <cp:revision>23</cp:revision>
  <cp:lastPrinted>2019-01-14T23:01:00Z</cp:lastPrinted>
  <dcterms:created xsi:type="dcterms:W3CDTF">2019-01-29T19:57:00Z</dcterms:created>
  <dcterms:modified xsi:type="dcterms:W3CDTF">2019-04-16T14:34:00Z</dcterms:modified>
</cp:coreProperties>
</file>