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38" w:rsidRDefault="00786B52" w:rsidP="00164538">
      <w:pPr>
        <w:rPr>
          <w:b/>
        </w:rPr>
      </w:pPr>
      <w:r>
        <w:rPr>
          <w:b/>
        </w:rPr>
        <w:t xml:space="preserve">Tip </w:t>
      </w:r>
      <w:r w:rsidR="007C6129">
        <w:rPr>
          <w:b/>
        </w:rPr>
        <w:t>for</w:t>
      </w:r>
      <w:r>
        <w:rPr>
          <w:b/>
        </w:rPr>
        <w:t xml:space="preserve"> d</w:t>
      </w:r>
      <w:r w:rsidR="00164538">
        <w:rPr>
          <w:b/>
        </w:rPr>
        <w:t xml:space="preserve">ata extraction </w:t>
      </w:r>
      <w:r w:rsidR="00165841">
        <w:rPr>
          <w:b/>
        </w:rPr>
        <w:t>for</w:t>
      </w:r>
      <w:r w:rsidR="00164538">
        <w:rPr>
          <w:b/>
        </w:rPr>
        <w:t xml:space="preserve"> meta-analysis </w:t>
      </w:r>
      <w:r>
        <w:rPr>
          <w:b/>
        </w:rPr>
        <w:t>-</w:t>
      </w:r>
      <w:r w:rsidR="00164538">
        <w:rPr>
          <w:b/>
        </w:rPr>
        <w:t xml:space="preserve"> </w:t>
      </w:r>
      <w:r w:rsidR="005446D3">
        <w:rPr>
          <w:b/>
        </w:rPr>
        <w:t>9</w:t>
      </w:r>
    </w:p>
    <w:p w:rsidR="00567608" w:rsidRDefault="00567608" w:rsidP="00567608">
      <w:pPr>
        <w:jc w:val="center"/>
      </w:pPr>
      <w:r>
        <w:rPr>
          <w:noProof/>
          <w:lang w:eastAsia="zh-CN"/>
        </w:rPr>
        <w:drawing>
          <wp:inline distT="0" distB="0" distL="0" distR="0" wp14:anchorId="336936E2" wp14:editId="666B43CE">
            <wp:extent cx="3483893" cy="1722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png"/>
                    <pic:cNvPicPr/>
                  </pic:nvPicPr>
                  <pic:blipFill>
                    <a:blip r:embed="rId6">
                      <a:extLst>
                        <a:ext uri="{28A0092B-C50C-407E-A947-70E740481C1C}">
                          <a14:useLocalDpi xmlns:a14="http://schemas.microsoft.com/office/drawing/2010/main" val="0"/>
                        </a:ext>
                      </a:extLst>
                    </a:blip>
                    <a:stretch>
                      <a:fillRect/>
                    </a:stretch>
                  </pic:blipFill>
                  <pic:spPr>
                    <a:xfrm>
                      <a:off x="0" y="0"/>
                      <a:ext cx="3486877" cy="1723595"/>
                    </a:xfrm>
                    <a:prstGeom prst="rect">
                      <a:avLst/>
                    </a:prstGeom>
                  </pic:spPr>
                </pic:pic>
              </a:graphicData>
            </a:graphic>
          </wp:inline>
        </w:drawing>
      </w:r>
    </w:p>
    <w:p w:rsidR="006D13E2" w:rsidRDefault="00D53765" w:rsidP="005E3D36">
      <w:r>
        <w:t xml:space="preserve">Wanting a particular </w:t>
      </w:r>
      <w:r w:rsidR="006D13E2" w:rsidRPr="00D22F4A">
        <w:t xml:space="preserve">reference category in categorical risk data  </w:t>
      </w:r>
    </w:p>
    <w:p w:rsidR="006D13E2" w:rsidRDefault="006D13E2" w:rsidP="005E3D36"/>
    <w:p w:rsidR="005E3D36" w:rsidRPr="005E3D36" w:rsidRDefault="005E3D36" w:rsidP="005E3D36">
      <w:r w:rsidRPr="005E3D36">
        <w:t>Kathy Taylor</w:t>
      </w:r>
    </w:p>
    <w:p w:rsidR="005E3D36" w:rsidRDefault="005E3D36" w:rsidP="005E3D36"/>
    <w:p w:rsidR="008226F8" w:rsidRDefault="00B73C10" w:rsidP="00996711">
      <w:pPr>
        <w:rPr>
          <w:lang w:eastAsia="zh-CN"/>
        </w:rPr>
      </w:pPr>
      <w:r>
        <w:rPr>
          <w:lang w:eastAsia="zh-CN"/>
        </w:rPr>
        <w:t>Previously</w:t>
      </w:r>
      <w:r w:rsidR="00575FDF">
        <w:rPr>
          <w:lang w:eastAsia="zh-CN"/>
        </w:rPr>
        <w:t>,</w:t>
      </w:r>
      <w:r w:rsidR="00B20E41">
        <w:rPr>
          <w:lang w:eastAsia="zh-CN"/>
        </w:rPr>
        <w:t xml:space="preserve"> I </w:t>
      </w:r>
      <w:r w:rsidR="00376680">
        <w:rPr>
          <w:lang w:eastAsia="zh-CN"/>
        </w:rPr>
        <w:t xml:space="preserve">showed </w:t>
      </w:r>
      <w:r w:rsidR="00B20E41">
        <w:rPr>
          <w:lang w:eastAsia="zh-CN"/>
        </w:rPr>
        <w:t xml:space="preserve">a </w:t>
      </w:r>
      <w:hyperlink r:id="rId7" w:history="1">
        <w:r w:rsidR="007F169E" w:rsidRPr="00981132">
          <w:rPr>
            <w:rStyle w:val="Hyperlink"/>
            <w:lang w:eastAsia="zh-CN"/>
          </w:rPr>
          <w:t xml:space="preserve">step-by-step </w:t>
        </w:r>
        <w:r w:rsidR="00586C33" w:rsidRPr="00981132">
          <w:rPr>
            <w:rStyle w:val="Hyperlink"/>
            <w:lang w:eastAsia="zh-CN"/>
          </w:rPr>
          <w:t>guide</w:t>
        </w:r>
      </w:hyperlink>
      <w:r w:rsidR="007F169E">
        <w:rPr>
          <w:lang w:eastAsia="zh-CN"/>
        </w:rPr>
        <w:t xml:space="preserve"> </w:t>
      </w:r>
      <w:r w:rsidR="00376680">
        <w:rPr>
          <w:lang w:eastAsia="zh-CN"/>
        </w:rPr>
        <w:t xml:space="preserve">and </w:t>
      </w:r>
      <w:hyperlink r:id="rId8" w:history="1">
        <w:r w:rsidR="00376680" w:rsidRPr="00981132">
          <w:rPr>
            <w:rStyle w:val="Hyperlink"/>
            <w:lang w:eastAsia="zh-CN"/>
          </w:rPr>
          <w:t>worked example</w:t>
        </w:r>
      </w:hyperlink>
      <w:r w:rsidR="00B27C7A">
        <w:rPr>
          <w:lang w:eastAsia="zh-CN"/>
        </w:rPr>
        <w:t xml:space="preserve"> </w:t>
      </w:r>
      <w:r>
        <w:rPr>
          <w:lang w:eastAsia="zh-CN"/>
        </w:rPr>
        <w:t xml:space="preserve">of a </w:t>
      </w:r>
      <w:r w:rsidR="00627565">
        <w:rPr>
          <w:lang w:eastAsia="zh-CN"/>
        </w:rPr>
        <w:t xml:space="preserve">trend estimation </w:t>
      </w:r>
      <w:r>
        <w:rPr>
          <w:lang w:eastAsia="zh-CN"/>
        </w:rPr>
        <w:t xml:space="preserve">method </w:t>
      </w:r>
      <w:r w:rsidR="00586C33">
        <w:rPr>
          <w:lang w:eastAsia="zh-CN"/>
        </w:rPr>
        <w:t xml:space="preserve">for </w:t>
      </w:r>
      <w:r w:rsidR="00B20E41">
        <w:rPr>
          <w:lang w:eastAsia="zh-CN"/>
        </w:rPr>
        <w:t xml:space="preserve">summarising categorical risk </w:t>
      </w:r>
      <w:r w:rsidR="00376680">
        <w:rPr>
          <w:lang w:eastAsia="zh-CN"/>
        </w:rPr>
        <w:t>(</w:t>
      </w:r>
      <w:r>
        <w:rPr>
          <w:lang w:eastAsia="zh-CN"/>
        </w:rPr>
        <w:t xml:space="preserve">quantile or </w:t>
      </w:r>
      <w:r w:rsidR="00376680">
        <w:rPr>
          <w:lang w:eastAsia="zh-CN"/>
        </w:rPr>
        <w:t>dose-response)</w:t>
      </w:r>
      <w:r w:rsidR="00D53765">
        <w:rPr>
          <w:lang w:eastAsia="zh-CN"/>
        </w:rPr>
        <w:t xml:space="preserve"> data</w:t>
      </w:r>
      <w:r w:rsidR="002008C2">
        <w:rPr>
          <w:lang w:eastAsia="zh-CN"/>
        </w:rPr>
        <w:t>,</w:t>
      </w:r>
      <w:r w:rsidR="00B20E41">
        <w:rPr>
          <w:lang w:eastAsia="zh-CN"/>
        </w:rPr>
        <w:t xml:space="preserve"> using the trend estimation method of </w:t>
      </w:r>
      <w:hyperlink r:id="rId9" w:history="1">
        <w:r w:rsidR="00996711" w:rsidRPr="00996711">
          <w:rPr>
            <w:rStyle w:val="Hyperlink"/>
            <w:lang w:eastAsia="zh-CN"/>
          </w:rPr>
          <w:t>Greenland</w:t>
        </w:r>
        <w:r w:rsidR="00AB3002">
          <w:rPr>
            <w:rStyle w:val="Hyperlink"/>
            <w:lang w:eastAsia="zh-CN"/>
          </w:rPr>
          <w:t xml:space="preserve"> </w:t>
        </w:r>
        <w:r w:rsidR="00996711" w:rsidRPr="00996711">
          <w:rPr>
            <w:rStyle w:val="Hyperlink"/>
            <w:lang w:eastAsia="zh-CN"/>
          </w:rPr>
          <w:t xml:space="preserve"> and </w:t>
        </w:r>
        <w:proofErr w:type="spellStart"/>
        <w:r w:rsidR="00996711" w:rsidRPr="00996711">
          <w:rPr>
            <w:rStyle w:val="Hyperlink"/>
            <w:lang w:eastAsia="zh-CN"/>
          </w:rPr>
          <w:t>Longnecker</w:t>
        </w:r>
        <w:proofErr w:type="spellEnd"/>
      </w:hyperlink>
      <w:r w:rsidR="00B27C7A">
        <w:rPr>
          <w:rStyle w:val="Hyperlink"/>
          <w:lang w:eastAsia="zh-CN"/>
        </w:rPr>
        <w:t xml:space="preserve">, </w:t>
      </w:r>
      <w:r w:rsidR="00B20E41">
        <w:rPr>
          <w:lang w:eastAsia="zh-CN"/>
        </w:rPr>
        <w:t xml:space="preserve">the STATA </w:t>
      </w:r>
      <w:hyperlink r:id="rId10" w:history="1">
        <w:proofErr w:type="spellStart"/>
        <w:r w:rsidR="00B20E41" w:rsidRPr="00C57F0C">
          <w:rPr>
            <w:rStyle w:val="Hyperlink"/>
            <w:lang w:eastAsia="zh-CN"/>
          </w:rPr>
          <w:t>glst</w:t>
        </w:r>
        <w:proofErr w:type="spellEnd"/>
        <w:r w:rsidR="00B20E41" w:rsidRPr="00C57F0C">
          <w:rPr>
            <w:rStyle w:val="Hyperlink"/>
            <w:lang w:eastAsia="zh-CN"/>
          </w:rPr>
          <w:t xml:space="preserve"> command</w:t>
        </w:r>
      </w:hyperlink>
      <w:r w:rsidR="00B20E41">
        <w:rPr>
          <w:lang w:eastAsia="zh-CN"/>
        </w:rPr>
        <w:t xml:space="preserve"> </w:t>
      </w:r>
      <w:r w:rsidR="00B27C7A">
        <w:rPr>
          <w:lang w:eastAsia="zh-CN"/>
        </w:rPr>
        <w:t xml:space="preserve">and the R </w:t>
      </w:r>
      <w:hyperlink r:id="rId11" w:history="1">
        <w:proofErr w:type="spellStart"/>
        <w:r w:rsidR="00B27C7A" w:rsidRPr="00C57F0C">
          <w:rPr>
            <w:rStyle w:val="Hyperlink"/>
            <w:lang w:eastAsia="zh-CN"/>
          </w:rPr>
          <w:t>dosresmeta</w:t>
        </w:r>
        <w:proofErr w:type="spellEnd"/>
        <w:r w:rsidR="00B27C7A" w:rsidRPr="00C57F0C">
          <w:rPr>
            <w:rStyle w:val="Hyperlink"/>
            <w:lang w:eastAsia="zh-CN"/>
          </w:rPr>
          <w:t xml:space="preserve"> command</w:t>
        </w:r>
      </w:hyperlink>
      <w:r w:rsidR="00C57F0C">
        <w:rPr>
          <w:lang w:eastAsia="zh-CN"/>
        </w:rPr>
        <w:t>.</w:t>
      </w:r>
      <w:r w:rsidR="00B27C7A">
        <w:rPr>
          <w:lang w:eastAsia="zh-CN"/>
        </w:rPr>
        <w:t xml:space="preserve"> </w:t>
      </w:r>
      <w:r w:rsidR="00376680">
        <w:rPr>
          <w:lang w:eastAsia="zh-CN"/>
        </w:rPr>
        <w:t xml:space="preserve">In my last post I </w:t>
      </w:r>
      <w:r w:rsidR="00C56242">
        <w:rPr>
          <w:lang w:eastAsia="zh-CN"/>
        </w:rPr>
        <w:t xml:space="preserve">also </w:t>
      </w:r>
      <w:r w:rsidR="00376680">
        <w:rPr>
          <w:lang w:eastAsia="zh-CN"/>
        </w:rPr>
        <w:t xml:space="preserve">showed </w:t>
      </w:r>
      <w:r w:rsidR="00CC1A9E">
        <w:rPr>
          <w:lang w:eastAsia="zh-CN"/>
        </w:rPr>
        <w:t xml:space="preserve">that you could </w:t>
      </w:r>
      <w:r w:rsidR="00376680">
        <w:rPr>
          <w:lang w:eastAsia="zh-CN"/>
        </w:rPr>
        <w:t>deal with the problem</w:t>
      </w:r>
      <w:r w:rsidR="00627565">
        <w:rPr>
          <w:lang w:eastAsia="zh-CN"/>
        </w:rPr>
        <w:t xml:space="preserve"> </w:t>
      </w:r>
      <w:r w:rsidR="00376680">
        <w:rPr>
          <w:lang w:eastAsia="zh-CN"/>
        </w:rPr>
        <w:t>unbounded limits of categories</w:t>
      </w:r>
      <w:r w:rsidR="00627565">
        <w:rPr>
          <w:lang w:eastAsia="zh-CN"/>
        </w:rPr>
        <w:t xml:space="preserve"> </w:t>
      </w:r>
      <w:r w:rsidR="00243B6D">
        <w:rPr>
          <w:lang w:eastAsia="zh-CN"/>
        </w:rPr>
        <w:t xml:space="preserve">by </w:t>
      </w:r>
      <w:r w:rsidR="00627565">
        <w:rPr>
          <w:lang w:eastAsia="zh-CN"/>
        </w:rPr>
        <w:t>imput</w:t>
      </w:r>
      <w:r w:rsidR="00243B6D">
        <w:rPr>
          <w:lang w:eastAsia="zh-CN"/>
        </w:rPr>
        <w:t>ing values derived from the ranges of other categories</w:t>
      </w:r>
      <w:r w:rsidR="00376680">
        <w:rPr>
          <w:lang w:eastAsia="zh-CN"/>
        </w:rPr>
        <w:t xml:space="preserve">. </w:t>
      </w:r>
      <w:r w:rsidR="00610D02">
        <w:rPr>
          <w:lang w:eastAsia="zh-CN"/>
        </w:rPr>
        <w:t xml:space="preserve">In this post I will look </w:t>
      </w:r>
      <w:r w:rsidR="00752895">
        <w:rPr>
          <w:lang w:eastAsia="zh-CN"/>
        </w:rPr>
        <w:t>at the</w:t>
      </w:r>
      <w:r w:rsidR="00455882">
        <w:rPr>
          <w:lang w:eastAsia="zh-CN"/>
        </w:rPr>
        <w:t xml:space="preserve"> problem</w:t>
      </w:r>
      <w:r w:rsidR="00A12201">
        <w:rPr>
          <w:lang w:eastAsia="zh-CN"/>
        </w:rPr>
        <w:t xml:space="preserve"> of wanting a </w:t>
      </w:r>
      <w:r w:rsidR="00CC1A9E">
        <w:rPr>
          <w:lang w:eastAsia="zh-CN"/>
        </w:rPr>
        <w:t>particular</w:t>
      </w:r>
      <w:r w:rsidR="00A12201">
        <w:rPr>
          <w:lang w:eastAsia="zh-CN"/>
        </w:rPr>
        <w:t xml:space="preserve"> reference category</w:t>
      </w:r>
      <w:r w:rsidR="00CC1A9E">
        <w:rPr>
          <w:lang w:eastAsia="zh-CN"/>
        </w:rPr>
        <w:t xml:space="preserve"> which may not be </w:t>
      </w:r>
      <w:r w:rsidR="00752895">
        <w:rPr>
          <w:lang w:eastAsia="zh-CN"/>
        </w:rPr>
        <w:t xml:space="preserve">the </w:t>
      </w:r>
      <w:r w:rsidR="00CC1A9E">
        <w:rPr>
          <w:lang w:eastAsia="zh-CN"/>
        </w:rPr>
        <w:t>category that</w:t>
      </w:r>
      <w:r w:rsidR="00752895">
        <w:rPr>
          <w:lang w:eastAsia="zh-CN"/>
        </w:rPr>
        <w:t>’</w:t>
      </w:r>
      <w:r w:rsidR="00CC1A9E">
        <w:rPr>
          <w:lang w:eastAsia="zh-CN"/>
        </w:rPr>
        <w:t>s reported</w:t>
      </w:r>
      <w:r w:rsidR="00455882">
        <w:rPr>
          <w:lang w:eastAsia="zh-CN"/>
        </w:rPr>
        <w:t>.</w:t>
      </w:r>
      <w:r w:rsidR="00A12201">
        <w:rPr>
          <w:lang w:eastAsia="zh-CN"/>
        </w:rPr>
        <w:t xml:space="preserve"> </w:t>
      </w:r>
      <w:r w:rsidR="00455882">
        <w:rPr>
          <w:lang w:eastAsia="zh-CN"/>
        </w:rPr>
        <w:t xml:space="preserve"> </w:t>
      </w:r>
      <w:r w:rsidR="00A12201">
        <w:rPr>
          <w:lang w:eastAsia="zh-CN"/>
        </w:rPr>
        <w:t xml:space="preserve">I will </w:t>
      </w:r>
      <w:r w:rsidR="00CC1A9E">
        <w:rPr>
          <w:lang w:eastAsia="zh-CN"/>
        </w:rPr>
        <w:t xml:space="preserve">present three </w:t>
      </w:r>
      <w:r w:rsidR="00C57F0C">
        <w:rPr>
          <w:lang w:eastAsia="zh-CN"/>
        </w:rPr>
        <w:t xml:space="preserve">different </w:t>
      </w:r>
      <w:r w:rsidR="00CC1A9E">
        <w:rPr>
          <w:lang w:eastAsia="zh-CN"/>
        </w:rPr>
        <w:t>examples</w:t>
      </w:r>
      <w:r w:rsidR="00A12201">
        <w:rPr>
          <w:lang w:eastAsia="zh-CN"/>
        </w:rPr>
        <w:t>.</w:t>
      </w:r>
    </w:p>
    <w:p w:rsidR="008226F8" w:rsidRDefault="008226F8" w:rsidP="00996711">
      <w:pPr>
        <w:rPr>
          <w:lang w:eastAsia="zh-CN"/>
        </w:rPr>
      </w:pPr>
    </w:p>
    <w:p w:rsidR="00B855F6" w:rsidRPr="00E3671A" w:rsidRDefault="00B855F6" w:rsidP="00996711">
      <w:pPr>
        <w:rPr>
          <w:b/>
          <w:lang w:eastAsia="zh-CN"/>
        </w:rPr>
      </w:pPr>
      <w:r w:rsidRPr="00E3671A">
        <w:rPr>
          <w:b/>
          <w:lang w:eastAsia="zh-CN"/>
        </w:rPr>
        <w:t>Example 1</w:t>
      </w:r>
      <w:r w:rsidR="00880E6F">
        <w:rPr>
          <w:b/>
          <w:lang w:eastAsia="zh-CN"/>
        </w:rPr>
        <w:t xml:space="preserve"> – switching the reference category </w:t>
      </w:r>
    </w:p>
    <w:p w:rsidR="00376680" w:rsidRDefault="00610D02" w:rsidP="00996711">
      <w:pPr>
        <w:rPr>
          <w:lang w:eastAsia="zh-CN"/>
        </w:rPr>
      </w:pPr>
      <w:r>
        <w:rPr>
          <w:lang w:eastAsia="zh-CN"/>
        </w:rPr>
        <w:t xml:space="preserve">You may want to change the reference category </w:t>
      </w:r>
      <w:r w:rsidR="00FC39D2">
        <w:rPr>
          <w:lang w:eastAsia="zh-CN"/>
        </w:rPr>
        <w:t xml:space="preserve">from that with the lowest exposure to the category </w:t>
      </w:r>
      <w:r w:rsidR="00C56242">
        <w:rPr>
          <w:lang w:eastAsia="zh-CN"/>
        </w:rPr>
        <w:t>with the highest exposure</w:t>
      </w:r>
      <w:r w:rsidR="00586C33">
        <w:rPr>
          <w:lang w:eastAsia="zh-CN"/>
        </w:rPr>
        <w:t xml:space="preserve">. </w:t>
      </w:r>
      <w:r w:rsidR="007C02D0">
        <w:rPr>
          <w:lang w:eastAsia="zh-CN"/>
        </w:rPr>
        <w:t xml:space="preserve">Looking again at the data from </w:t>
      </w:r>
      <w:hyperlink r:id="rId12" w:history="1">
        <w:r w:rsidR="007C02D0" w:rsidRPr="007C02D0">
          <w:rPr>
            <w:rStyle w:val="Hyperlink"/>
            <w:lang w:eastAsia="zh-CN"/>
          </w:rPr>
          <w:t>one</w:t>
        </w:r>
      </w:hyperlink>
      <w:r w:rsidR="007C02D0">
        <w:rPr>
          <w:lang w:eastAsia="zh-CN"/>
        </w:rPr>
        <w:t xml:space="preserve"> of the studies </w:t>
      </w:r>
      <w:r>
        <w:rPr>
          <w:lang w:eastAsia="zh-CN"/>
        </w:rPr>
        <w:t xml:space="preserve">in </w:t>
      </w:r>
      <w:r w:rsidR="007C02D0">
        <w:rPr>
          <w:lang w:eastAsia="zh-CN"/>
        </w:rPr>
        <w:t>the worked example in my previous post (</w:t>
      </w:r>
      <w:r w:rsidR="00BB7888">
        <w:rPr>
          <w:lang w:eastAsia="zh-CN"/>
        </w:rPr>
        <w:t>Table</w:t>
      </w:r>
      <w:r w:rsidR="00CC6D79">
        <w:rPr>
          <w:lang w:eastAsia="zh-CN"/>
        </w:rPr>
        <w:t xml:space="preserve"> </w:t>
      </w:r>
      <w:r w:rsidR="007C02D0">
        <w:rPr>
          <w:lang w:eastAsia="zh-CN"/>
        </w:rPr>
        <w:t>1)</w:t>
      </w:r>
      <w:r w:rsidR="00412A76">
        <w:rPr>
          <w:lang w:eastAsia="zh-CN"/>
        </w:rPr>
        <w:t xml:space="preserve">, the reference category has the lowest </w:t>
      </w:r>
      <w:r w:rsidR="008A2656">
        <w:rPr>
          <w:lang w:eastAsia="zh-CN"/>
        </w:rPr>
        <w:t>exposure (</w:t>
      </w:r>
      <w:r w:rsidR="00412A76">
        <w:rPr>
          <w:lang w:eastAsia="zh-CN"/>
        </w:rPr>
        <w:t>body mass index</w:t>
      </w:r>
      <w:r w:rsidR="008A2656">
        <w:rPr>
          <w:lang w:eastAsia="zh-CN"/>
        </w:rPr>
        <w:t>)</w:t>
      </w:r>
      <w:r w:rsidR="00412A76">
        <w:rPr>
          <w:lang w:eastAsia="zh-CN"/>
        </w:rPr>
        <w:t xml:space="preserve">. </w:t>
      </w:r>
    </w:p>
    <w:p w:rsidR="00CF7D31" w:rsidRDefault="00CF7D31" w:rsidP="00996711">
      <w:pPr>
        <w:rPr>
          <w:lang w:eastAsia="zh-CN"/>
        </w:rPr>
      </w:pPr>
    </w:p>
    <w:p w:rsidR="00BB7888" w:rsidRDefault="00BB7888" w:rsidP="00996711">
      <w:pPr>
        <w:rPr>
          <w:lang w:eastAsia="zh-CN"/>
        </w:rPr>
      </w:pPr>
      <w:r>
        <w:rPr>
          <w:lang w:eastAsia="zh-CN"/>
        </w:rPr>
        <w:t>Table</w:t>
      </w:r>
      <w:r w:rsidR="00CC6D79">
        <w:rPr>
          <w:lang w:eastAsia="zh-CN"/>
        </w:rPr>
        <w:t xml:space="preserve"> </w:t>
      </w:r>
      <w:r>
        <w:rPr>
          <w:lang w:eastAsia="zh-CN"/>
        </w:rPr>
        <w:t xml:space="preserve">1. </w:t>
      </w:r>
      <w:r w:rsidR="00CF7D31">
        <w:rPr>
          <w:lang w:eastAsia="zh-CN"/>
        </w:rPr>
        <w:t xml:space="preserve">Cumulative incidence data on body mass index and risk of </w:t>
      </w:r>
      <w:r>
        <w:rPr>
          <w:lang w:eastAsia="zh-CN"/>
        </w:rPr>
        <w:t>atrial fibrillation</w:t>
      </w:r>
    </w:p>
    <w:p w:rsidR="00523341" w:rsidRDefault="00523341" w:rsidP="00996711">
      <w:pPr>
        <w:rPr>
          <w:lang w:eastAsia="zh-CN"/>
        </w:rPr>
      </w:pPr>
      <w:r>
        <w:rPr>
          <w:noProof/>
          <w:lang w:eastAsia="zh-CN"/>
        </w:rPr>
        <w:drawing>
          <wp:inline distT="0" distB="0" distL="0" distR="0" wp14:anchorId="2B4581E3" wp14:editId="60D5FC0F">
            <wp:extent cx="4396740" cy="73920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1457" cy="756813"/>
                    </a:xfrm>
                    <a:prstGeom prst="rect">
                      <a:avLst/>
                    </a:prstGeom>
                  </pic:spPr>
                </pic:pic>
              </a:graphicData>
            </a:graphic>
          </wp:inline>
        </w:drawing>
      </w:r>
    </w:p>
    <w:p w:rsidR="00412A76" w:rsidRDefault="00412A76" w:rsidP="00376680">
      <w:pPr>
        <w:rPr>
          <w:lang w:eastAsia="zh-CN"/>
        </w:rPr>
      </w:pPr>
    </w:p>
    <w:p w:rsidR="000873ED" w:rsidRDefault="00412A76" w:rsidP="00376680">
      <w:pPr>
        <w:rPr>
          <w:lang w:eastAsia="zh-CN"/>
        </w:rPr>
      </w:pPr>
      <w:r>
        <w:rPr>
          <w:lang w:eastAsia="zh-CN"/>
        </w:rPr>
        <w:t xml:space="preserve">To </w:t>
      </w:r>
      <w:r w:rsidR="000B2B26">
        <w:rPr>
          <w:lang w:eastAsia="zh-CN"/>
        </w:rPr>
        <w:t xml:space="preserve">change the reference category to that with </w:t>
      </w:r>
      <w:r>
        <w:rPr>
          <w:lang w:eastAsia="zh-CN"/>
        </w:rPr>
        <w:t xml:space="preserve">the highest </w:t>
      </w:r>
      <w:r w:rsidR="008A2656">
        <w:rPr>
          <w:lang w:eastAsia="zh-CN"/>
        </w:rPr>
        <w:t xml:space="preserve">exposure we need to divide all the hazard ratios (HRs) by 1.74 (the HR of the category with the highest exposure), divide all the lower confidence interval limits by 1.16 (the lower confidence limit of the highest exposure category) and divide all the upper confidence interval limits by 2.56 (the upper confidence limit of the highest exposure category). Note that </w:t>
      </w:r>
      <w:r w:rsidR="00752895">
        <w:rPr>
          <w:lang w:eastAsia="zh-CN"/>
        </w:rPr>
        <w:t>you need to swop the upper and lower limits of the confidence intervals</w:t>
      </w:r>
      <w:r w:rsidR="008A2656">
        <w:rPr>
          <w:lang w:eastAsia="zh-CN"/>
        </w:rPr>
        <w:t xml:space="preserve"> (</w:t>
      </w:r>
      <w:r w:rsidR="00C56242">
        <w:rPr>
          <w:lang w:eastAsia="zh-CN"/>
        </w:rPr>
        <w:t>Table 2</w:t>
      </w:r>
      <w:r w:rsidR="008A2656">
        <w:rPr>
          <w:lang w:eastAsia="zh-CN"/>
        </w:rPr>
        <w:t>)</w:t>
      </w:r>
      <w:r w:rsidR="00752895">
        <w:rPr>
          <w:lang w:eastAsia="zh-CN"/>
        </w:rPr>
        <w:t xml:space="preserve"> because the transformed lower limit become upper limits</w:t>
      </w:r>
      <w:r w:rsidR="008A2656">
        <w:rPr>
          <w:lang w:eastAsia="zh-CN"/>
        </w:rPr>
        <w:t xml:space="preserve">.     </w:t>
      </w:r>
      <w:r>
        <w:rPr>
          <w:lang w:eastAsia="zh-CN"/>
        </w:rPr>
        <w:t xml:space="preserve"> </w:t>
      </w:r>
      <w:r w:rsidR="00376680">
        <w:rPr>
          <w:lang w:eastAsia="zh-CN"/>
        </w:rPr>
        <w:t xml:space="preserve"> </w:t>
      </w:r>
    </w:p>
    <w:p w:rsidR="002B05DD" w:rsidRDefault="002B05DD" w:rsidP="00376680">
      <w:pPr>
        <w:rPr>
          <w:lang w:eastAsia="zh-CN"/>
        </w:rPr>
      </w:pPr>
    </w:p>
    <w:p w:rsidR="002B05DD" w:rsidRDefault="00BB7888" w:rsidP="00610D02">
      <w:pPr>
        <w:spacing w:after="160" w:line="259" w:lineRule="auto"/>
        <w:jc w:val="left"/>
      </w:pPr>
      <w:r>
        <w:br w:type="page"/>
      </w:r>
      <w:r>
        <w:lastRenderedPageBreak/>
        <w:t>Table 2. With highest exposure as reference category</w:t>
      </w:r>
    </w:p>
    <w:p w:rsidR="000873ED" w:rsidRDefault="00333909" w:rsidP="00C94A37">
      <w:r>
        <w:rPr>
          <w:noProof/>
          <w:lang w:eastAsia="zh-CN"/>
        </w:rPr>
        <w:drawing>
          <wp:inline distT="0" distB="0" distL="0" distR="0" wp14:anchorId="7967C72A" wp14:editId="735D931D">
            <wp:extent cx="4450080" cy="776627"/>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2024" cy="785692"/>
                    </a:xfrm>
                    <a:prstGeom prst="rect">
                      <a:avLst/>
                    </a:prstGeom>
                  </pic:spPr>
                </pic:pic>
              </a:graphicData>
            </a:graphic>
          </wp:inline>
        </w:drawing>
      </w:r>
    </w:p>
    <w:p w:rsidR="00A12201" w:rsidRDefault="00A12201" w:rsidP="00C94A37"/>
    <w:p w:rsidR="00B855F6" w:rsidRPr="00E3671A" w:rsidRDefault="00B855F6" w:rsidP="00C94A37">
      <w:pPr>
        <w:rPr>
          <w:b/>
        </w:rPr>
      </w:pPr>
      <w:r w:rsidRPr="00E3671A">
        <w:rPr>
          <w:b/>
        </w:rPr>
        <w:t>Example 2</w:t>
      </w:r>
      <w:r w:rsidR="00880E6F">
        <w:rPr>
          <w:b/>
        </w:rPr>
        <w:t xml:space="preserve"> </w:t>
      </w:r>
      <w:r w:rsidR="00D53765">
        <w:rPr>
          <w:b/>
        </w:rPr>
        <w:t>–</w:t>
      </w:r>
      <w:r w:rsidR="00880E6F">
        <w:rPr>
          <w:b/>
        </w:rPr>
        <w:t xml:space="preserve"> </w:t>
      </w:r>
      <w:r w:rsidR="00D53765">
        <w:rPr>
          <w:b/>
        </w:rPr>
        <w:t xml:space="preserve">separating data and switching the reference category </w:t>
      </w:r>
      <w:r w:rsidR="00C07C59">
        <w:rPr>
          <w:b/>
        </w:rPr>
        <w:t>if necessary</w:t>
      </w:r>
    </w:p>
    <w:p w:rsidR="00F560FE" w:rsidRDefault="002B05DD" w:rsidP="00C94A37">
      <w:r>
        <w:t>Sometimes an inner category is the reference category</w:t>
      </w:r>
      <w:r w:rsidR="00F653F0">
        <w:t>, as in Table 3</w:t>
      </w:r>
      <w:r w:rsidR="00514AB0">
        <w:t>,</w:t>
      </w:r>
      <w:r w:rsidR="00F653F0">
        <w:t xml:space="preserve"> which shows data from a </w:t>
      </w:r>
      <w:hyperlink r:id="rId15" w:history="1">
        <w:r w:rsidR="00F653F0" w:rsidRPr="00F560FE">
          <w:rPr>
            <w:rStyle w:val="Hyperlink"/>
          </w:rPr>
          <w:t>study</w:t>
        </w:r>
      </w:hyperlink>
      <w:r w:rsidR="00F653F0">
        <w:t xml:space="preserve"> of weight change and risk of atrial fibrillation. </w:t>
      </w:r>
      <w:r w:rsidR="00514AB0">
        <w:t xml:space="preserve">In this case, the reference category divides the categories into weight gain and weight loss. </w:t>
      </w:r>
      <w:r w:rsidR="00F653F0">
        <w:t xml:space="preserve">It would not be appropriate to include weight gain and weight loss data in the same </w:t>
      </w:r>
      <w:r w:rsidR="00C57F0C">
        <w:t>meta-</w:t>
      </w:r>
      <w:r w:rsidR="00F653F0">
        <w:t xml:space="preserve">analysis, so these data need to </w:t>
      </w:r>
      <w:r w:rsidR="00827E01">
        <w:t xml:space="preserve">be </w:t>
      </w:r>
      <w:r w:rsidR="00514AB0">
        <w:t>analyse</w:t>
      </w:r>
      <w:r w:rsidR="00827E01">
        <w:t>d</w:t>
      </w:r>
      <w:r w:rsidR="00514AB0">
        <w:t xml:space="preserve"> separately</w:t>
      </w:r>
      <w:r w:rsidR="00F653F0">
        <w:t xml:space="preserve">, with the reference category featuring in both analyses. </w:t>
      </w:r>
      <w:r w:rsidR="00880E6F">
        <w:t xml:space="preserve">Having separated the data, the reference category may be changed, </w:t>
      </w:r>
      <w:r w:rsidR="00D53765">
        <w:t xml:space="preserve">if necessary, </w:t>
      </w:r>
      <w:r w:rsidR="00880E6F">
        <w:t>as shown in Example 1</w:t>
      </w:r>
      <w:r w:rsidR="00F560FE">
        <w:t xml:space="preserve"> </w:t>
      </w:r>
    </w:p>
    <w:p w:rsidR="00F560FE" w:rsidRDefault="00F560FE" w:rsidP="00C94A37"/>
    <w:p w:rsidR="00BB7888" w:rsidRDefault="00F560FE" w:rsidP="00C94A37">
      <w:r>
        <w:t xml:space="preserve"> </w:t>
      </w:r>
      <w:r w:rsidR="002B05DD">
        <w:t xml:space="preserve"> </w:t>
      </w:r>
      <w:r w:rsidR="00CF7D31">
        <w:t>Table 3. Cumulative incidence data on weight change and risk of atrial fibrillation</w:t>
      </w:r>
    </w:p>
    <w:p w:rsidR="002B05DD" w:rsidRDefault="00514AB0" w:rsidP="00C94A37">
      <w:r>
        <w:rPr>
          <w:noProof/>
          <w:lang w:eastAsia="zh-CN"/>
        </w:rPr>
        <w:drawing>
          <wp:inline distT="0" distB="0" distL="0" distR="0" wp14:anchorId="4CE92FA5" wp14:editId="417D2A31">
            <wp:extent cx="4526280" cy="11099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45730" cy="1114692"/>
                    </a:xfrm>
                    <a:prstGeom prst="rect">
                      <a:avLst/>
                    </a:prstGeom>
                  </pic:spPr>
                </pic:pic>
              </a:graphicData>
            </a:graphic>
          </wp:inline>
        </w:drawing>
      </w:r>
    </w:p>
    <w:p w:rsidR="00A12201" w:rsidRDefault="00A12201" w:rsidP="00C94A37"/>
    <w:p w:rsidR="00B855F6" w:rsidRPr="00E3671A" w:rsidRDefault="00B855F6" w:rsidP="00C94A37">
      <w:pPr>
        <w:rPr>
          <w:b/>
        </w:rPr>
      </w:pPr>
      <w:r w:rsidRPr="00E3671A">
        <w:rPr>
          <w:b/>
        </w:rPr>
        <w:t>Example 3</w:t>
      </w:r>
      <w:r w:rsidR="00880E6F">
        <w:rPr>
          <w:b/>
        </w:rPr>
        <w:t xml:space="preserve"> – </w:t>
      </w:r>
      <w:r w:rsidR="00C07C59">
        <w:rPr>
          <w:b/>
        </w:rPr>
        <w:t>setting the reference category when deriving relative risks from event data</w:t>
      </w:r>
    </w:p>
    <w:p w:rsidR="00DE7D2F" w:rsidRDefault="00827254" w:rsidP="00C94A37">
      <w:r>
        <w:t xml:space="preserve">In cases where categorical data </w:t>
      </w:r>
      <w:r w:rsidR="00827E01">
        <w:t>are</w:t>
      </w:r>
      <w:r>
        <w:t xml:space="preserve"> reported with rates</w:t>
      </w:r>
      <w:r w:rsidR="00E3671A">
        <w:t>,</w:t>
      </w:r>
      <w:r>
        <w:t xml:space="preserve"> unadjusted </w:t>
      </w:r>
      <w:r w:rsidR="00B73C10">
        <w:t xml:space="preserve">estimates of </w:t>
      </w:r>
      <w:r w:rsidR="00527ABA">
        <w:t>relative risks</w:t>
      </w:r>
      <w:r>
        <w:t xml:space="preserve"> </w:t>
      </w:r>
      <w:r w:rsidR="00E3671A">
        <w:t xml:space="preserve">(RRs) </w:t>
      </w:r>
      <w:r w:rsidR="00B73C10">
        <w:t xml:space="preserve">may </w:t>
      </w:r>
      <w:r w:rsidR="00FC39D2">
        <w:t>be estimated, a</w:t>
      </w:r>
      <w:r w:rsidR="00B73C10">
        <w:t xml:space="preserve">nd </w:t>
      </w:r>
      <w:r>
        <w:t xml:space="preserve">as part of this process, </w:t>
      </w:r>
      <w:r w:rsidR="00222B84">
        <w:t>you can chose t</w:t>
      </w:r>
      <w:r>
        <w:t>he reference category</w:t>
      </w:r>
      <w:r w:rsidR="00B73C10">
        <w:t xml:space="preserve">. A </w:t>
      </w:r>
      <w:hyperlink r:id="rId17" w:history="1">
        <w:r w:rsidR="00B73C10" w:rsidRPr="00B73C10">
          <w:rPr>
            <w:rStyle w:val="Hyperlink"/>
          </w:rPr>
          <w:t>study</w:t>
        </w:r>
      </w:hyperlink>
      <w:r w:rsidR="00B73C10">
        <w:t xml:space="preserve"> which </w:t>
      </w:r>
      <w:r w:rsidR="00222B84">
        <w:t>featured</w:t>
      </w:r>
      <w:r w:rsidR="00B73C10">
        <w:t xml:space="preserve"> in </w:t>
      </w:r>
      <w:hyperlink r:id="rId18" w:history="1">
        <w:r w:rsidR="008E6971" w:rsidRPr="00F14F1F">
          <w:rPr>
            <w:rStyle w:val="Hyperlink"/>
          </w:rPr>
          <w:t>Perez</w:t>
        </w:r>
        <w:r w:rsidR="00F14F1F" w:rsidRPr="00F14F1F">
          <w:rPr>
            <w:rStyle w:val="Hyperlink"/>
          </w:rPr>
          <w:t xml:space="preserve"> et al</w:t>
        </w:r>
      </w:hyperlink>
      <w:r w:rsidR="008E6971">
        <w:t xml:space="preserve"> </w:t>
      </w:r>
      <w:r w:rsidR="00FC39D2">
        <w:t>present</w:t>
      </w:r>
      <w:r w:rsidR="00E94558">
        <w:t>ed</w:t>
      </w:r>
      <w:r w:rsidR="00222B84">
        <w:t xml:space="preserve"> rates of </w:t>
      </w:r>
      <w:r w:rsidR="00CD3410">
        <w:t xml:space="preserve">the first major vascular event in a trial of simvastatin verses placebo for various </w:t>
      </w:r>
      <w:r w:rsidR="00986BC5">
        <w:t xml:space="preserve">baseline </w:t>
      </w:r>
      <w:r w:rsidR="00CD3410">
        <w:t xml:space="preserve">categories including </w:t>
      </w:r>
      <w:r w:rsidR="00986BC5">
        <w:t xml:space="preserve">those of </w:t>
      </w:r>
      <w:r w:rsidR="00CD3410">
        <w:t>total cholesterol</w:t>
      </w:r>
      <w:r w:rsidR="00986BC5">
        <w:t xml:space="preserve"> &lt;5.0, ≥ 5.0 and &lt;6.0</w:t>
      </w:r>
      <w:r w:rsidR="00880E6F">
        <w:t>,</w:t>
      </w:r>
      <w:r w:rsidR="00986BC5">
        <w:t xml:space="preserve"> and ≥6.0 mmol/L</w:t>
      </w:r>
      <w:r w:rsidR="00D53765">
        <w:t xml:space="preserve"> for categories 1, 2 and 3 respectively</w:t>
      </w:r>
      <w:r w:rsidR="00986BC5">
        <w:t xml:space="preserve">. </w:t>
      </w:r>
      <w:r w:rsidR="004448E9">
        <w:t>In the intervention group</w:t>
      </w:r>
      <w:r w:rsidR="00DE7D2F">
        <w:t xml:space="preserve">, </w:t>
      </w:r>
      <w:r w:rsidR="004448E9">
        <w:t xml:space="preserve">the event rates </w:t>
      </w:r>
      <w:r w:rsidR="00A11DEE">
        <w:t>for categories 1,</w:t>
      </w:r>
      <w:r w:rsidR="00752895">
        <w:t xml:space="preserve"> </w:t>
      </w:r>
      <w:r w:rsidR="00A11DEE">
        <w:t xml:space="preserve">2 and 3 </w:t>
      </w:r>
      <w:r w:rsidR="004448E9">
        <w:t>were</w:t>
      </w:r>
      <w:r w:rsidR="00986BC5">
        <w:t xml:space="preserve"> </w:t>
      </w:r>
      <w:r w:rsidR="004448E9" w:rsidRPr="004448E9">
        <w:rPr>
          <w:rFonts w:cs="FranklinGothic-Book"/>
          <w:szCs w:val="24"/>
        </w:rPr>
        <w:t>360/2030</w:t>
      </w:r>
      <w:r w:rsidR="004448E9">
        <w:rPr>
          <w:rFonts w:cs="FranklinGothic-Book"/>
          <w:szCs w:val="24"/>
        </w:rPr>
        <w:t xml:space="preserve"> (18%)</w:t>
      </w:r>
      <w:r w:rsidR="004448E9" w:rsidRPr="004448E9">
        <w:rPr>
          <w:rFonts w:cs="FranklinGothic-Book"/>
          <w:szCs w:val="24"/>
        </w:rPr>
        <w:t>, 744/3942</w:t>
      </w:r>
      <w:r w:rsidR="004448E9">
        <w:rPr>
          <w:rFonts w:cs="FranklinGothic-Book"/>
          <w:szCs w:val="24"/>
        </w:rPr>
        <w:t xml:space="preserve"> (19%)</w:t>
      </w:r>
      <w:r w:rsidR="004448E9" w:rsidRPr="004448E9">
        <w:rPr>
          <w:rFonts w:cs="FranklinGothic-Book"/>
          <w:szCs w:val="24"/>
        </w:rPr>
        <w:t xml:space="preserve"> and 929/4297</w:t>
      </w:r>
      <w:r w:rsidR="004448E9">
        <w:rPr>
          <w:rFonts w:cs="FranklinGothic-Book"/>
          <w:szCs w:val="24"/>
        </w:rPr>
        <w:t xml:space="preserve"> (22%)</w:t>
      </w:r>
      <w:r w:rsidR="00A11DEE">
        <w:rPr>
          <w:rFonts w:cs="FranklinGothic-Book"/>
          <w:szCs w:val="24"/>
        </w:rPr>
        <w:t xml:space="preserve"> respectively</w:t>
      </w:r>
      <w:r w:rsidR="00DE7D2F">
        <w:t xml:space="preserve">. </w:t>
      </w:r>
      <w:r w:rsidR="00E3671A">
        <w:t>You can estimate RRs f</w:t>
      </w:r>
      <w:r w:rsidR="00DE7D2F">
        <w:t xml:space="preserve">rom these data </w:t>
      </w:r>
      <w:r w:rsidR="00E3671A">
        <w:t xml:space="preserve">by </w:t>
      </w:r>
      <w:r w:rsidR="00DE7D2F">
        <w:t xml:space="preserve">using </w:t>
      </w:r>
      <w:r w:rsidR="00E94558">
        <w:t xml:space="preserve">a </w:t>
      </w:r>
      <w:r w:rsidR="00DE7D2F">
        <w:t>generalised linear model function (</w:t>
      </w:r>
      <w:proofErr w:type="spellStart"/>
      <w:r w:rsidR="00DE7D2F">
        <w:t>glm</w:t>
      </w:r>
      <w:proofErr w:type="spellEnd"/>
      <w:r w:rsidR="00DE7D2F">
        <w:t>) in STATA</w:t>
      </w:r>
      <w:r w:rsidR="00527ABA">
        <w:t xml:space="preserve"> and the method of </w:t>
      </w:r>
      <w:hyperlink r:id="rId19" w:history="1">
        <w:proofErr w:type="spellStart"/>
        <w:r w:rsidR="00527ABA" w:rsidRPr="00527ABA">
          <w:rPr>
            <w:rStyle w:val="Hyperlink"/>
          </w:rPr>
          <w:t>Ch</w:t>
        </w:r>
        <w:r w:rsidR="008F32F6">
          <w:rPr>
            <w:rStyle w:val="Hyperlink"/>
          </w:rPr>
          <w:t>ê</w:t>
        </w:r>
        <w:r w:rsidR="00527ABA" w:rsidRPr="00527ABA">
          <w:rPr>
            <w:rStyle w:val="Hyperlink"/>
          </w:rPr>
          <w:t>ne</w:t>
        </w:r>
        <w:proofErr w:type="spellEnd"/>
        <w:r w:rsidR="00527ABA" w:rsidRPr="00527ABA">
          <w:rPr>
            <w:rStyle w:val="Hyperlink"/>
          </w:rPr>
          <w:t xml:space="preserve"> and Thompson</w:t>
        </w:r>
      </w:hyperlink>
      <w:r w:rsidR="00DE7D2F">
        <w:t xml:space="preserve">. The data </w:t>
      </w:r>
      <w:r w:rsidR="00827E01">
        <w:t>are</w:t>
      </w:r>
      <w:r w:rsidR="00DE7D2F">
        <w:t xml:space="preserve"> read into S</w:t>
      </w:r>
      <w:r w:rsidR="00866F8C">
        <w:t>TATA</w:t>
      </w:r>
      <w:bookmarkStart w:id="0" w:name="_GoBack"/>
      <w:bookmarkEnd w:id="0"/>
      <w:r w:rsidR="00DE7D2F">
        <w:t xml:space="preserve"> as shown below </w:t>
      </w:r>
    </w:p>
    <w:p w:rsidR="00AC4541" w:rsidRDefault="00AC4541" w:rsidP="00C94A37"/>
    <w:p w:rsidR="00DE7D2F" w:rsidRDefault="00AC4541" w:rsidP="00C94A37">
      <w:r>
        <w:rPr>
          <w:noProof/>
        </w:rPr>
        <w:drawing>
          <wp:inline distT="0" distB="0" distL="0" distR="0" wp14:anchorId="6BA0D19F" wp14:editId="1396BA60">
            <wp:extent cx="4284133" cy="12615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01394" cy="1266668"/>
                    </a:xfrm>
                    <a:prstGeom prst="rect">
                      <a:avLst/>
                    </a:prstGeom>
                  </pic:spPr>
                </pic:pic>
              </a:graphicData>
            </a:graphic>
          </wp:inline>
        </w:drawing>
      </w:r>
    </w:p>
    <w:p w:rsidR="00752895" w:rsidRDefault="00827E01" w:rsidP="00C94A37">
      <w:r>
        <w:t xml:space="preserve">Looking at the column TC1vs2 (the comparison between category 1 and category 2), the first row gives the number with events (event=1) in category 1. The second row gives the number with no </w:t>
      </w:r>
      <w:r>
        <w:lastRenderedPageBreak/>
        <w:t xml:space="preserve">event (event=0) in category 1. The next two rows give the numbers with events and without events for category 2. </w:t>
      </w:r>
      <w:r w:rsidR="009F55DD">
        <w:t>T</w:t>
      </w:r>
      <w:r>
        <w:t>he reference category</w:t>
      </w:r>
      <w:r w:rsidR="009F55DD">
        <w:t xml:space="preserve"> is indicated by level=1.</w:t>
      </w:r>
    </w:p>
    <w:p w:rsidR="00E94DAD" w:rsidRDefault="00E94DAD" w:rsidP="00E94DAD">
      <w:pPr>
        <w:rPr>
          <w:rFonts w:ascii="Arial" w:hAnsi="Arial" w:cs="Arial"/>
          <w:b/>
          <w:sz w:val="22"/>
        </w:rPr>
      </w:pPr>
    </w:p>
    <w:p w:rsidR="00DE7D2F" w:rsidRPr="00E94DAD" w:rsidRDefault="00FA7AD9" w:rsidP="00E94DAD">
      <w:pPr>
        <w:rPr>
          <w:rFonts w:ascii="Arial" w:hAnsi="Arial" w:cs="Arial"/>
          <w:b/>
          <w:sz w:val="22"/>
        </w:rPr>
      </w:pPr>
      <w:proofErr w:type="spellStart"/>
      <w:r w:rsidRPr="00E94DAD">
        <w:rPr>
          <w:rFonts w:ascii="Arial" w:hAnsi="Arial" w:cs="Arial"/>
          <w:b/>
          <w:sz w:val="22"/>
        </w:rPr>
        <w:t>glm</w:t>
      </w:r>
      <w:proofErr w:type="spellEnd"/>
      <w:r w:rsidRPr="00E94DAD">
        <w:rPr>
          <w:rFonts w:ascii="Arial" w:hAnsi="Arial" w:cs="Arial"/>
          <w:b/>
          <w:sz w:val="22"/>
        </w:rPr>
        <w:t xml:space="preserve"> event </w:t>
      </w:r>
      <w:proofErr w:type="gramStart"/>
      <w:r w:rsidRPr="00E94DAD">
        <w:rPr>
          <w:rFonts w:ascii="Arial" w:hAnsi="Arial" w:cs="Arial"/>
          <w:b/>
          <w:sz w:val="22"/>
        </w:rPr>
        <w:t>ib1.level  [</w:t>
      </w:r>
      <w:proofErr w:type="spellStart"/>
      <w:proofErr w:type="gramEnd"/>
      <w:r w:rsidRPr="00E94DAD">
        <w:rPr>
          <w:rFonts w:ascii="Arial" w:hAnsi="Arial" w:cs="Arial"/>
          <w:b/>
          <w:sz w:val="22"/>
        </w:rPr>
        <w:t>fweight</w:t>
      </w:r>
      <w:proofErr w:type="spellEnd"/>
      <w:r w:rsidRPr="00E94DAD">
        <w:rPr>
          <w:rFonts w:ascii="Arial" w:hAnsi="Arial" w:cs="Arial"/>
          <w:b/>
          <w:sz w:val="22"/>
        </w:rPr>
        <w:t xml:space="preserve"> = TC1vs2], fam(bin) link(log) </w:t>
      </w:r>
      <w:proofErr w:type="spellStart"/>
      <w:r w:rsidRPr="00E94DAD">
        <w:rPr>
          <w:rFonts w:ascii="Arial" w:hAnsi="Arial" w:cs="Arial"/>
          <w:b/>
          <w:sz w:val="22"/>
        </w:rPr>
        <w:t>nolog</w:t>
      </w:r>
      <w:proofErr w:type="spellEnd"/>
      <w:r w:rsidRPr="00E94DAD">
        <w:rPr>
          <w:rFonts w:ascii="Arial" w:hAnsi="Arial" w:cs="Arial"/>
          <w:b/>
          <w:sz w:val="22"/>
        </w:rPr>
        <w:t xml:space="preserve"> </w:t>
      </w:r>
      <w:proofErr w:type="spellStart"/>
      <w:r w:rsidRPr="00E94DAD">
        <w:rPr>
          <w:rFonts w:ascii="Arial" w:hAnsi="Arial" w:cs="Arial"/>
          <w:b/>
          <w:sz w:val="22"/>
        </w:rPr>
        <w:t>eform</w:t>
      </w:r>
      <w:proofErr w:type="spellEnd"/>
    </w:p>
    <w:p w:rsidR="00A11DEE" w:rsidRDefault="00A11DEE" w:rsidP="00C94A37">
      <w:r>
        <w:t>estimates the RR of category 2 compared to category 1 (reference) as 1.06 (0.95 to 1.19).</w:t>
      </w:r>
    </w:p>
    <w:p w:rsidR="008E6971" w:rsidRPr="00E94DAD" w:rsidRDefault="008F32F6" w:rsidP="00E94DAD">
      <w:pPr>
        <w:rPr>
          <w:rFonts w:ascii="Arial" w:hAnsi="Arial" w:cs="Arial"/>
          <w:b/>
          <w:sz w:val="22"/>
        </w:rPr>
      </w:pPr>
      <w:proofErr w:type="spellStart"/>
      <w:r w:rsidRPr="00E94DAD">
        <w:rPr>
          <w:rFonts w:ascii="Arial" w:hAnsi="Arial" w:cs="Arial"/>
          <w:b/>
          <w:sz w:val="22"/>
        </w:rPr>
        <w:t>glm</w:t>
      </w:r>
      <w:proofErr w:type="spellEnd"/>
      <w:r w:rsidRPr="00E94DAD">
        <w:rPr>
          <w:rFonts w:ascii="Arial" w:hAnsi="Arial" w:cs="Arial"/>
          <w:b/>
          <w:sz w:val="22"/>
        </w:rPr>
        <w:t xml:space="preserve"> event </w:t>
      </w:r>
      <w:proofErr w:type="gramStart"/>
      <w:r w:rsidRPr="00E94DAD">
        <w:rPr>
          <w:rFonts w:ascii="Arial" w:hAnsi="Arial" w:cs="Arial"/>
          <w:b/>
          <w:sz w:val="22"/>
        </w:rPr>
        <w:t>ib1.level  [</w:t>
      </w:r>
      <w:proofErr w:type="spellStart"/>
      <w:proofErr w:type="gramEnd"/>
      <w:r w:rsidRPr="00E94DAD">
        <w:rPr>
          <w:rFonts w:ascii="Arial" w:hAnsi="Arial" w:cs="Arial"/>
          <w:b/>
          <w:sz w:val="22"/>
        </w:rPr>
        <w:t>fweight</w:t>
      </w:r>
      <w:proofErr w:type="spellEnd"/>
      <w:r w:rsidRPr="00E94DAD">
        <w:rPr>
          <w:rFonts w:ascii="Arial" w:hAnsi="Arial" w:cs="Arial"/>
          <w:b/>
          <w:sz w:val="22"/>
        </w:rPr>
        <w:t xml:space="preserve"> = TC1vs3], fam(bin) link(log) </w:t>
      </w:r>
      <w:proofErr w:type="spellStart"/>
      <w:r w:rsidRPr="00E94DAD">
        <w:rPr>
          <w:rFonts w:ascii="Arial" w:hAnsi="Arial" w:cs="Arial"/>
          <w:b/>
          <w:sz w:val="22"/>
        </w:rPr>
        <w:t>nolog</w:t>
      </w:r>
      <w:proofErr w:type="spellEnd"/>
      <w:r w:rsidRPr="00E94DAD">
        <w:rPr>
          <w:rFonts w:ascii="Arial" w:hAnsi="Arial" w:cs="Arial"/>
          <w:b/>
          <w:sz w:val="22"/>
        </w:rPr>
        <w:t xml:space="preserve"> </w:t>
      </w:r>
      <w:proofErr w:type="spellStart"/>
      <w:r w:rsidRPr="00E94DAD">
        <w:rPr>
          <w:rFonts w:ascii="Arial" w:hAnsi="Arial" w:cs="Arial"/>
          <w:b/>
          <w:sz w:val="22"/>
        </w:rPr>
        <w:t>eform</w:t>
      </w:r>
      <w:proofErr w:type="spellEnd"/>
    </w:p>
    <w:p w:rsidR="008F32F6" w:rsidRDefault="00A11DEE" w:rsidP="00C94A37">
      <w:r>
        <w:t>estimates the RR of category 3 compared to category 1</w:t>
      </w:r>
      <w:r w:rsidR="00B855F6">
        <w:t xml:space="preserve"> (</w:t>
      </w:r>
      <w:proofErr w:type="gramStart"/>
      <w:r w:rsidR="00B855F6">
        <w:t xml:space="preserve">reference) </w:t>
      </w:r>
      <w:r>
        <w:t xml:space="preserve"> as</w:t>
      </w:r>
      <w:proofErr w:type="gramEnd"/>
      <w:r>
        <w:t xml:space="preserve"> 1.2</w:t>
      </w:r>
      <w:r w:rsidR="00AE6EE0">
        <w:t>2</w:t>
      </w:r>
      <w:r>
        <w:t xml:space="preserve"> (1.09 to 1.36).</w:t>
      </w:r>
    </w:p>
    <w:p w:rsidR="00E3671A" w:rsidRDefault="00E3671A" w:rsidP="00C94A37"/>
    <w:p w:rsidR="00B855F6" w:rsidRDefault="0064497F" w:rsidP="00C94A37">
      <w:r>
        <w:t xml:space="preserve">In the above commands </w:t>
      </w:r>
      <w:r w:rsidRPr="00E94DAD">
        <w:rPr>
          <w:b/>
        </w:rPr>
        <w:t>event</w:t>
      </w:r>
      <w:r>
        <w:t xml:space="preserve"> is the dependent variable and </w:t>
      </w:r>
      <w:r w:rsidRPr="00E94DAD">
        <w:rPr>
          <w:b/>
        </w:rPr>
        <w:t>level</w:t>
      </w:r>
      <w:r>
        <w:t xml:space="preserve"> is the independent variable. Frequency weights are applied using </w:t>
      </w:r>
      <w:proofErr w:type="spellStart"/>
      <w:r w:rsidRPr="00E94DAD">
        <w:rPr>
          <w:b/>
        </w:rPr>
        <w:t>fweight</w:t>
      </w:r>
      <w:proofErr w:type="spellEnd"/>
      <w:r>
        <w:t xml:space="preserve">. The outcome is </w:t>
      </w:r>
      <w:proofErr w:type="gramStart"/>
      <w:r>
        <w:t>binary</w:t>
      </w:r>
      <w:proofErr w:type="gramEnd"/>
      <w:r>
        <w:t xml:space="preserve"> so the family distribution is binomial, shown as </w:t>
      </w:r>
      <w:r w:rsidRPr="00E94DAD">
        <w:rPr>
          <w:b/>
        </w:rPr>
        <w:t>fam(bin)</w:t>
      </w:r>
      <w:r>
        <w:t xml:space="preserve"> and the link function between the covariate and outcome is specified as log in </w:t>
      </w:r>
      <w:r w:rsidRPr="00E94DAD">
        <w:rPr>
          <w:b/>
        </w:rPr>
        <w:t>link(log)</w:t>
      </w:r>
      <w:r w:rsidR="00250544">
        <w:t>, so a log-binomial function is used.</w:t>
      </w:r>
      <w:r>
        <w:t xml:space="preserve"> </w:t>
      </w:r>
      <w:proofErr w:type="spellStart"/>
      <w:r w:rsidR="00250544" w:rsidRPr="00E94DAD">
        <w:rPr>
          <w:b/>
        </w:rPr>
        <w:t>nolog</w:t>
      </w:r>
      <w:proofErr w:type="spellEnd"/>
      <w:r w:rsidR="00250544">
        <w:t xml:space="preserve"> reduces the output and </w:t>
      </w:r>
      <w:proofErr w:type="spellStart"/>
      <w:r w:rsidR="00250544" w:rsidRPr="00E94DAD">
        <w:rPr>
          <w:b/>
        </w:rPr>
        <w:t>eform</w:t>
      </w:r>
      <w:proofErr w:type="spellEnd"/>
      <w:r w:rsidR="00250544">
        <w:t xml:space="preserve"> exponentiates the output</w:t>
      </w:r>
      <w:r w:rsidR="00E94DAD">
        <w:t xml:space="preserve"> to produce relative risks</w:t>
      </w:r>
      <w:r w:rsidR="00250544">
        <w:t>.</w:t>
      </w:r>
      <w:r w:rsidR="00E94DAD">
        <w:t xml:space="preserve"> </w:t>
      </w:r>
      <w:r w:rsidR="00250544">
        <w:t xml:space="preserve">Level is specified as </w:t>
      </w:r>
      <w:r w:rsidR="00250544" w:rsidRPr="00E94DAD">
        <w:rPr>
          <w:b/>
        </w:rPr>
        <w:t>ib1.level</w:t>
      </w:r>
      <w:r w:rsidR="00250544">
        <w:t xml:space="preserve"> as a factor variable</w:t>
      </w:r>
      <w:r w:rsidR="00E3671A">
        <w:t xml:space="preserve"> and</w:t>
      </w:r>
      <w:r w:rsidR="00250544">
        <w:t xml:space="preserve"> setting level=1 as the base or reference level.</w:t>
      </w:r>
      <w:r w:rsidR="00B855F6">
        <w:t xml:space="preserve"> </w:t>
      </w:r>
    </w:p>
    <w:p w:rsidR="007C7BAA" w:rsidRDefault="007C7BAA" w:rsidP="00250544">
      <w:pPr>
        <w:rPr>
          <w:rFonts w:cs="Arial"/>
          <w:szCs w:val="24"/>
        </w:rPr>
      </w:pPr>
    </w:p>
    <w:p w:rsidR="007C7BAA" w:rsidRDefault="00866F8C" w:rsidP="00250544">
      <w:pPr>
        <w:rPr>
          <w:rFonts w:cs="Arial"/>
          <w:szCs w:val="24"/>
        </w:rPr>
      </w:pPr>
      <w:r>
        <w:rPr>
          <w:rFonts w:cs="Arial"/>
          <w:szCs w:val="24"/>
        </w:rPr>
        <w:t>The</w:t>
      </w:r>
      <w:r w:rsidR="007C7BAA">
        <w:rPr>
          <w:rFonts w:cs="Arial"/>
          <w:szCs w:val="24"/>
        </w:rPr>
        <w:t xml:space="preserve"> RRs </w:t>
      </w:r>
      <w:r w:rsidR="00CE72FF">
        <w:rPr>
          <w:rFonts w:cs="Arial"/>
          <w:szCs w:val="24"/>
        </w:rPr>
        <w:t xml:space="preserve">together </w:t>
      </w:r>
      <w:r w:rsidR="007C7BAA">
        <w:rPr>
          <w:rFonts w:cs="Arial"/>
          <w:szCs w:val="24"/>
        </w:rPr>
        <w:t xml:space="preserve">with </w:t>
      </w:r>
      <w:r w:rsidR="00CE72FF">
        <w:rPr>
          <w:rFonts w:cs="Arial"/>
          <w:szCs w:val="24"/>
        </w:rPr>
        <w:t xml:space="preserve">the numbers of </w:t>
      </w:r>
      <w:r w:rsidR="007C7BAA">
        <w:rPr>
          <w:rFonts w:cs="Arial"/>
          <w:szCs w:val="24"/>
        </w:rPr>
        <w:t>events and total patients for each category pr</w:t>
      </w:r>
      <w:r w:rsidR="009F55DD">
        <w:rPr>
          <w:rFonts w:cs="Arial"/>
          <w:szCs w:val="24"/>
        </w:rPr>
        <w:t xml:space="preserve">oduce cumulative incidence data. Recall that I described different types of </w:t>
      </w:r>
      <w:r w:rsidR="00CE72FF">
        <w:rPr>
          <w:rFonts w:cs="Arial"/>
          <w:szCs w:val="24"/>
        </w:rPr>
        <w:t xml:space="preserve">categorical </w:t>
      </w:r>
      <w:r w:rsidR="009F55DD">
        <w:rPr>
          <w:rFonts w:cs="Arial"/>
          <w:szCs w:val="24"/>
        </w:rPr>
        <w:t xml:space="preserve">data </w:t>
      </w:r>
      <w:r w:rsidR="00CE72FF">
        <w:rPr>
          <w:rFonts w:cs="Arial"/>
          <w:szCs w:val="24"/>
        </w:rPr>
        <w:t xml:space="preserve">in an earlier </w:t>
      </w:r>
      <w:hyperlink r:id="rId21" w:history="1">
        <w:r w:rsidR="009F55DD" w:rsidRPr="009F55DD">
          <w:rPr>
            <w:rStyle w:val="Hyperlink"/>
            <w:rFonts w:cs="Arial"/>
            <w:szCs w:val="24"/>
          </w:rPr>
          <w:t>p</w:t>
        </w:r>
        <w:r w:rsidR="00CE72FF">
          <w:rPr>
            <w:rStyle w:val="Hyperlink"/>
            <w:rFonts w:cs="Arial"/>
            <w:szCs w:val="24"/>
          </w:rPr>
          <w:t>ost</w:t>
        </w:r>
      </w:hyperlink>
      <w:r w:rsidR="009F55DD">
        <w:rPr>
          <w:rFonts w:cs="Arial"/>
          <w:szCs w:val="24"/>
        </w:rPr>
        <w:t>.</w:t>
      </w:r>
    </w:p>
    <w:p w:rsidR="00E97673" w:rsidRDefault="00E97673" w:rsidP="00C94A37">
      <w:r>
        <w:rPr>
          <w:rFonts w:ascii="Times New Roman" w:hAnsi="Times New Roman" w:cs="Times New Roman"/>
          <w:noProof/>
          <w:szCs w:val="24"/>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224155</wp:posOffset>
                </wp:positionV>
                <wp:extent cx="3139440" cy="2072640"/>
                <wp:effectExtent l="0" t="0" r="22860" b="22860"/>
                <wp:wrapNone/>
                <wp:docPr id="3" name="Vertical Scroll 3"/>
                <wp:cNvGraphicFramePr/>
                <a:graphic xmlns:a="http://schemas.openxmlformats.org/drawingml/2006/main">
                  <a:graphicData uri="http://schemas.microsoft.com/office/word/2010/wordprocessingShape">
                    <wps:wsp>
                      <wps:cNvSpPr/>
                      <wps:spPr>
                        <a:xfrm>
                          <a:off x="0" y="0"/>
                          <a:ext cx="3139440" cy="2072640"/>
                        </a:xfrm>
                        <a:prstGeom prst="verticalScroll">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FAD" w:rsidRDefault="00E97673" w:rsidP="00E97673">
                            <w:pPr>
                              <w:jc w:val="center"/>
                              <w:rPr>
                                <w:i/>
                                <w:color w:val="000000" w:themeColor="text1"/>
                              </w:rPr>
                            </w:pPr>
                            <w:r>
                              <w:rPr>
                                <w:i/>
                                <w:color w:val="000000" w:themeColor="text1"/>
                              </w:rPr>
                              <w:t>Here’s a tip…</w:t>
                            </w:r>
                          </w:p>
                          <w:p w:rsidR="00E97673" w:rsidRDefault="004A0223" w:rsidP="00E97673">
                            <w:pPr>
                              <w:jc w:val="center"/>
                              <w:rPr>
                                <w:color w:val="000000" w:themeColor="text1"/>
                              </w:rPr>
                            </w:pPr>
                            <w:r>
                              <w:rPr>
                                <w:i/>
                                <w:color w:val="000000" w:themeColor="text1"/>
                              </w:rPr>
                              <w:t>When dealing with categorical risk data, it</w:t>
                            </w:r>
                            <w:r w:rsidR="00E94DAD">
                              <w:rPr>
                                <w:i/>
                                <w:color w:val="000000" w:themeColor="text1"/>
                              </w:rPr>
                              <w:t xml:space="preserve"> may</w:t>
                            </w:r>
                            <w:r>
                              <w:rPr>
                                <w:i/>
                                <w:color w:val="000000" w:themeColor="text1"/>
                              </w:rPr>
                              <w:t xml:space="preserve"> </w:t>
                            </w:r>
                            <w:r w:rsidR="00E94DAD">
                              <w:rPr>
                                <w:i/>
                                <w:color w:val="000000" w:themeColor="text1"/>
                              </w:rPr>
                              <w:t xml:space="preserve">be possible to switch or set the </w:t>
                            </w:r>
                            <w:r w:rsidR="00222B84">
                              <w:rPr>
                                <w:i/>
                                <w:color w:val="000000" w:themeColor="text1"/>
                              </w:rPr>
                              <w:t>reference category</w:t>
                            </w:r>
                            <w:r w:rsidR="00B73C10">
                              <w:rPr>
                                <w: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left:0;text-align:left;margin-left:0;margin-top:17.65pt;width:247.2pt;height:163.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" fillcolor="#f7caac [1301]" strokecolor="#1f4d78 [1604]" strokeweight="1pt">
                <v:stroke joinstyle="miter"/>
                <v:textbox>
                  <w:txbxContent>
                    <w:p w:rsidR="005C1FAD" w:rsidRDefault="00E97673" w:rsidP="00E97673">
                      <w:pPr>
                        <w:jc w:val="center"/>
                        <w:rPr>
                          <w:i/>
                          <w:color w:val="000000" w:themeColor="text1"/>
                        </w:rPr>
                      </w:pPr>
                      <w:r>
                        <w:rPr>
                          <w:i/>
                          <w:color w:val="000000" w:themeColor="text1"/>
                        </w:rPr>
                        <w:t>Here’s a tip…</w:t>
                      </w:r>
                    </w:p>
                    <w:p w:rsidR="00E97673" w:rsidRDefault="004A0223" w:rsidP="00E97673">
                      <w:pPr>
                        <w:jc w:val="center"/>
                        <w:rPr>
                          <w:color w:val="000000" w:themeColor="text1"/>
                        </w:rPr>
                      </w:pPr>
                      <w:r>
                        <w:rPr>
                          <w:i/>
                          <w:color w:val="000000" w:themeColor="text1"/>
                        </w:rPr>
                        <w:t>When dealing with categorical risk data, it</w:t>
                      </w:r>
                      <w:r w:rsidR="00E94DAD">
                        <w:rPr>
                          <w:i/>
                          <w:color w:val="000000" w:themeColor="text1"/>
                        </w:rPr>
                        <w:t xml:space="preserve"> may</w:t>
                      </w:r>
                      <w:r>
                        <w:rPr>
                          <w:i/>
                          <w:color w:val="000000" w:themeColor="text1"/>
                        </w:rPr>
                        <w:t xml:space="preserve"> </w:t>
                      </w:r>
                      <w:r w:rsidR="00E94DAD">
                        <w:rPr>
                          <w:i/>
                          <w:color w:val="000000" w:themeColor="text1"/>
                        </w:rPr>
                        <w:t xml:space="preserve">be possible to switch or set the </w:t>
                      </w:r>
                      <w:r w:rsidR="00222B84">
                        <w:rPr>
                          <w:i/>
                          <w:color w:val="000000" w:themeColor="text1"/>
                        </w:rPr>
                        <w:t>reference category</w:t>
                      </w:r>
                      <w:r w:rsidR="00B73C10">
                        <w:rPr>
                          <w:i/>
                          <w:color w:val="000000" w:themeColor="text1"/>
                        </w:rPr>
                        <w:t xml:space="preserve"> </w:t>
                      </w:r>
                    </w:p>
                  </w:txbxContent>
                </v:textbox>
                <w10:wrap anchorx="margin"/>
              </v:shape>
            </w:pict>
          </mc:Fallback>
        </mc:AlternateContent>
      </w:r>
    </w:p>
    <w:p w:rsidR="00E97673" w:rsidRDefault="00E97673" w:rsidP="00C94A37"/>
    <w:p w:rsidR="00E97673" w:rsidRDefault="00E97673" w:rsidP="00C94A37"/>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FC6204" w:rsidRDefault="00FC6204" w:rsidP="00FC6204">
      <w:r>
        <w:t xml:space="preserve">My next blog post will focus on situations where categorical risk data are incomplete.  </w:t>
      </w:r>
    </w:p>
    <w:p w:rsidR="00BA76D0" w:rsidRPr="0013591A" w:rsidRDefault="00BA76D0" w:rsidP="00B95332">
      <w:pPr>
        <w:jc w:val="center"/>
        <w:rPr>
          <w:rFonts w:eastAsiaTheme="minorEastAsia"/>
          <w:sz w:val="28"/>
          <w:szCs w:val="28"/>
        </w:rPr>
      </w:pPr>
    </w:p>
    <w:p w:rsidR="00F61465" w:rsidRDefault="00F61465" w:rsidP="00F61465">
      <w:pPr>
        <w:jc w:val="left"/>
        <w:rPr>
          <w:b/>
        </w:rPr>
      </w:pPr>
      <w:r>
        <w:rPr>
          <w:b/>
        </w:rPr>
        <w:t xml:space="preserve">Dr Kathy Taylor teaches data extraction in Meta-analysis, </w:t>
      </w:r>
      <w:hyperlink r:id="rId22" w:history="1">
        <w:r w:rsidRPr="00444C0C">
          <w:rPr>
            <w:rStyle w:val="Hyperlink"/>
            <w:b/>
          </w:rPr>
          <w:t>https://www.conted.ox.ac.uk/courses/meta-analysis&lt;/link</w:t>
        </w:r>
      </w:hyperlink>
      <w:r>
        <w:rPr>
          <w:b/>
        </w:rPr>
        <w:t xml:space="preserve">&gt; This is a short course that is also available as part of our MSc in Evidence-Based Health Care </w:t>
      </w:r>
    </w:p>
    <w:p w:rsidR="00F61465" w:rsidRDefault="00866F8C" w:rsidP="00F61465">
      <w:pPr>
        <w:jc w:val="left"/>
        <w:rPr>
          <w:b/>
        </w:rPr>
      </w:pPr>
      <w:hyperlink r:id="rId23" w:history="1">
        <w:r w:rsidR="00F61465" w:rsidRPr="00444C0C">
          <w:rPr>
            <w:rStyle w:val="Hyperlink"/>
            <w:b/>
          </w:rPr>
          <w:t>https://www.conted.ox.ac.uk/about/msc-in-evidence-based-health-care</w:t>
        </w:r>
      </w:hyperlink>
      <w:r w:rsidR="00F61465">
        <w:rPr>
          <w:b/>
        </w:rPr>
        <w:t xml:space="preserve">, MSc in Medical Statistics </w:t>
      </w:r>
    </w:p>
    <w:p w:rsidR="00F61465" w:rsidRDefault="00866F8C" w:rsidP="00F61465">
      <w:pPr>
        <w:jc w:val="left"/>
        <w:rPr>
          <w:b/>
        </w:rPr>
      </w:pPr>
      <w:hyperlink r:id="rId24" w:history="1">
        <w:r w:rsidR="00F61465" w:rsidRPr="00444C0C">
          <w:rPr>
            <w:rStyle w:val="Hyperlink"/>
            <w:b/>
          </w:rPr>
          <w:t>https://www.conted.ox.ac.uk/about/msc-in-ebhc-medical-statistics</w:t>
        </w:r>
      </w:hyperlink>
      <w:r w:rsidR="00F61465">
        <w:rPr>
          <w:b/>
        </w:rPr>
        <w:t xml:space="preserve">, and MSc in Systematic Reviews </w:t>
      </w:r>
    </w:p>
    <w:p w:rsidR="00F61465" w:rsidRDefault="00866F8C" w:rsidP="00F61465">
      <w:pPr>
        <w:jc w:val="left"/>
        <w:rPr>
          <w:b/>
        </w:rPr>
      </w:pPr>
      <w:hyperlink r:id="rId25" w:history="1">
        <w:r w:rsidR="00F61465" w:rsidRPr="00444C0C">
          <w:rPr>
            <w:rStyle w:val="Hyperlink"/>
            <w:b/>
          </w:rPr>
          <w:t>https://www.conted.ox.ac.uk/about/msc-in-ebhc-systematic-reviews</w:t>
        </w:r>
      </w:hyperlink>
    </w:p>
    <w:p w:rsidR="00F61465" w:rsidRDefault="00F61465" w:rsidP="00F61465">
      <w:pPr>
        <w:rPr>
          <w:b/>
        </w:rPr>
      </w:pPr>
    </w:p>
    <w:p w:rsidR="000F3DCD" w:rsidRDefault="00F61465" w:rsidP="00F61465">
      <w:r>
        <w:rPr>
          <w:b/>
        </w:rPr>
        <w:lastRenderedPageBreak/>
        <w:t>Follow updates on this blog and related news on Twitter @</w:t>
      </w:r>
      <w:proofErr w:type="spellStart"/>
      <w:r>
        <w:rPr>
          <w:b/>
        </w:rPr>
        <w:t>dataextips</w:t>
      </w:r>
      <w:proofErr w:type="spellEnd"/>
    </w:p>
    <w:sectPr w:rsidR="000F3DCD" w:rsidSect="00E7148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FranklinGothic-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60E"/>
    <w:multiLevelType w:val="hybridMultilevel"/>
    <w:tmpl w:val="FD04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21220"/>
    <w:multiLevelType w:val="hybridMultilevel"/>
    <w:tmpl w:val="E7CE8B7C"/>
    <w:lvl w:ilvl="0" w:tplc="6C50D1B0">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D958F7"/>
    <w:multiLevelType w:val="hybridMultilevel"/>
    <w:tmpl w:val="76924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67AE1"/>
    <w:multiLevelType w:val="hybridMultilevel"/>
    <w:tmpl w:val="918AF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D39B5"/>
    <w:multiLevelType w:val="hybridMultilevel"/>
    <w:tmpl w:val="79368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F26324"/>
    <w:multiLevelType w:val="hybridMultilevel"/>
    <w:tmpl w:val="51ACA134"/>
    <w:lvl w:ilvl="0" w:tplc="C6DECD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0066"/>
    <w:multiLevelType w:val="hybridMultilevel"/>
    <w:tmpl w:val="11203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4751F"/>
    <w:multiLevelType w:val="hybridMultilevel"/>
    <w:tmpl w:val="FBE4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C1664E"/>
    <w:multiLevelType w:val="hybridMultilevel"/>
    <w:tmpl w:val="EE5AA66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2C0092"/>
    <w:multiLevelType w:val="hybridMultilevel"/>
    <w:tmpl w:val="C0A2A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6"/>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0"/>
    <w:rsid w:val="00005DCF"/>
    <w:rsid w:val="00007277"/>
    <w:rsid w:val="0000797F"/>
    <w:rsid w:val="00010602"/>
    <w:rsid w:val="00024A49"/>
    <w:rsid w:val="00030E37"/>
    <w:rsid w:val="0003161B"/>
    <w:rsid w:val="0004354A"/>
    <w:rsid w:val="0004465B"/>
    <w:rsid w:val="000502DA"/>
    <w:rsid w:val="000523DB"/>
    <w:rsid w:val="00061BC8"/>
    <w:rsid w:val="00062810"/>
    <w:rsid w:val="00072AB2"/>
    <w:rsid w:val="00072FF1"/>
    <w:rsid w:val="00081903"/>
    <w:rsid w:val="000873ED"/>
    <w:rsid w:val="000875BC"/>
    <w:rsid w:val="000A31E7"/>
    <w:rsid w:val="000A72C7"/>
    <w:rsid w:val="000B2B26"/>
    <w:rsid w:val="000C3186"/>
    <w:rsid w:val="000C5427"/>
    <w:rsid w:val="000D08E4"/>
    <w:rsid w:val="000D6955"/>
    <w:rsid w:val="000E1D35"/>
    <w:rsid w:val="000F327C"/>
    <w:rsid w:val="000F3DCD"/>
    <w:rsid w:val="0011090E"/>
    <w:rsid w:val="001125AC"/>
    <w:rsid w:val="00112F97"/>
    <w:rsid w:val="001217CF"/>
    <w:rsid w:val="00131C6D"/>
    <w:rsid w:val="0013591A"/>
    <w:rsid w:val="00144D03"/>
    <w:rsid w:val="001475B0"/>
    <w:rsid w:val="00164538"/>
    <w:rsid w:val="00165841"/>
    <w:rsid w:val="00165953"/>
    <w:rsid w:val="00171703"/>
    <w:rsid w:val="0017670D"/>
    <w:rsid w:val="00197F74"/>
    <w:rsid w:val="001A2BE8"/>
    <w:rsid w:val="001A5106"/>
    <w:rsid w:val="001A75D3"/>
    <w:rsid w:val="001B37DD"/>
    <w:rsid w:val="001B45DE"/>
    <w:rsid w:val="001B563F"/>
    <w:rsid w:val="001B5AA9"/>
    <w:rsid w:val="001C0913"/>
    <w:rsid w:val="001C09D5"/>
    <w:rsid w:val="001C1D89"/>
    <w:rsid w:val="001C4A6A"/>
    <w:rsid w:val="001D2705"/>
    <w:rsid w:val="001D30D1"/>
    <w:rsid w:val="001D7919"/>
    <w:rsid w:val="001F00A0"/>
    <w:rsid w:val="001F095B"/>
    <w:rsid w:val="001F2235"/>
    <w:rsid w:val="001F397C"/>
    <w:rsid w:val="002008C2"/>
    <w:rsid w:val="0020157D"/>
    <w:rsid w:val="0020284E"/>
    <w:rsid w:val="0021794F"/>
    <w:rsid w:val="0022029A"/>
    <w:rsid w:val="00222B84"/>
    <w:rsid w:val="00226CC2"/>
    <w:rsid w:val="00243B6D"/>
    <w:rsid w:val="00250544"/>
    <w:rsid w:val="0027393E"/>
    <w:rsid w:val="00274D67"/>
    <w:rsid w:val="00285A6D"/>
    <w:rsid w:val="002860CD"/>
    <w:rsid w:val="002922C3"/>
    <w:rsid w:val="00296359"/>
    <w:rsid w:val="002967CB"/>
    <w:rsid w:val="002A0714"/>
    <w:rsid w:val="002A3B34"/>
    <w:rsid w:val="002A4644"/>
    <w:rsid w:val="002B05DD"/>
    <w:rsid w:val="002B6D91"/>
    <w:rsid w:val="002C35B6"/>
    <w:rsid w:val="002D27D1"/>
    <w:rsid w:val="002D3704"/>
    <w:rsid w:val="002D5228"/>
    <w:rsid w:val="002E4DD4"/>
    <w:rsid w:val="002E5A7E"/>
    <w:rsid w:val="002F1FBB"/>
    <w:rsid w:val="00302055"/>
    <w:rsid w:val="00305F0E"/>
    <w:rsid w:val="00316795"/>
    <w:rsid w:val="003169B9"/>
    <w:rsid w:val="00325ADC"/>
    <w:rsid w:val="00326E04"/>
    <w:rsid w:val="00327AAA"/>
    <w:rsid w:val="00331DBD"/>
    <w:rsid w:val="00333909"/>
    <w:rsid w:val="003378D4"/>
    <w:rsid w:val="003463E4"/>
    <w:rsid w:val="00352BF0"/>
    <w:rsid w:val="003629B6"/>
    <w:rsid w:val="0037154F"/>
    <w:rsid w:val="00371AF1"/>
    <w:rsid w:val="00375F9E"/>
    <w:rsid w:val="00376680"/>
    <w:rsid w:val="0039100C"/>
    <w:rsid w:val="0039219A"/>
    <w:rsid w:val="0039648E"/>
    <w:rsid w:val="003A6B09"/>
    <w:rsid w:val="003B340D"/>
    <w:rsid w:val="003B4968"/>
    <w:rsid w:val="003D14AE"/>
    <w:rsid w:val="003D5A94"/>
    <w:rsid w:val="003E34A4"/>
    <w:rsid w:val="003E5601"/>
    <w:rsid w:val="003E68DD"/>
    <w:rsid w:val="003F3B5D"/>
    <w:rsid w:val="00402452"/>
    <w:rsid w:val="00405021"/>
    <w:rsid w:val="00412A76"/>
    <w:rsid w:val="00430366"/>
    <w:rsid w:val="00430A6F"/>
    <w:rsid w:val="00442D5B"/>
    <w:rsid w:val="00443AAC"/>
    <w:rsid w:val="004448E9"/>
    <w:rsid w:val="00455569"/>
    <w:rsid w:val="00455882"/>
    <w:rsid w:val="0046759A"/>
    <w:rsid w:val="00474C66"/>
    <w:rsid w:val="0047759D"/>
    <w:rsid w:val="00477F28"/>
    <w:rsid w:val="00480965"/>
    <w:rsid w:val="00492259"/>
    <w:rsid w:val="004930C2"/>
    <w:rsid w:val="004A0223"/>
    <w:rsid w:val="004A2803"/>
    <w:rsid w:val="004B06A1"/>
    <w:rsid w:val="004B404C"/>
    <w:rsid w:val="004B6831"/>
    <w:rsid w:val="004C04E1"/>
    <w:rsid w:val="004C3AAA"/>
    <w:rsid w:val="004C4709"/>
    <w:rsid w:val="004C65A1"/>
    <w:rsid w:val="004D561C"/>
    <w:rsid w:val="004E0CBB"/>
    <w:rsid w:val="004E32DC"/>
    <w:rsid w:val="004F5412"/>
    <w:rsid w:val="004F7602"/>
    <w:rsid w:val="00510A34"/>
    <w:rsid w:val="00514AB0"/>
    <w:rsid w:val="00514E60"/>
    <w:rsid w:val="00523341"/>
    <w:rsid w:val="005248F0"/>
    <w:rsid w:val="005267FD"/>
    <w:rsid w:val="00527ABA"/>
    <w:rsid w:val="00532FDC"/>
    <w:rsid w:val="00540B55"/>
    <w:rsid w:val="005446D3"/>
    <w:rsid w:val="005523EE"/>
    <w:rsid w:val="005566AB"/>
    <w:rsid w:val="005616A9"/>
    <w:rsid w:val="00562630"/>
    <w:rsid w:val="00567608"/>
    <w:rsid w:val="005742E7"/>
    <w:rsid w:val="00574A6C"/>
    <w:rsid w:val="00575FDF"/>
    <w:rsid w:val="00584992"/>
    <w:rsid w:val="00586C33"/>
    <w:rsid w:val="0059005A"/>
    <w:rsid w:val="00591F58"/>
    <w:rsid w:val="0059269E"/>
    <w:rsid w:val="00594337"/>
    <w:rsid w:val="0059771F"/>
    <w:rsid w:val="005979A9"/>
    <w:rsid w:val="005C1FAD"/>
    <w:rsid w:val="005C4BFF"/>
    <w:rsid w:val="005D7C92"/>
    <w:rsid w:val="005E3D36"/>
    <w:rsid w:val="005E647D"/>
    <w:rsid w:val="005F0D8F"/>
    <w:rsid w:val="00601B4F"/>
    <w:rsid w:val="006041C7"/>
    <w:rsid w:val="0060455E"/>
    <w:rsid w:val="00604F45"/>
    <w:rsid w:val="00610D02"/>
    <w:rsid w:val="00622C71"/>
    <w:rsid w:val="00623B6F"/>
    <w:rsid w:val="00627565"/>
    <w:rsid w:val="0063042C"/>
    <w:rsid w:val="00632A33"/>
    <w:rsid w:val="00636A06"/>
    <w:rsid w:val="00640002"/>
    <w:rsid w:val="0064497F"/>
    <w:rsid w:val="00644AFB"/>
    <w:rsid w:val="00664E79"/>
    <w:rsid w:val="00664EF0"/>
    <w:rsid w:val="0066578C"/>
    <w:rsid w:val="006724E5"/>
    <w:rsid w:val="00690B8B"/>
    <w:rsid w:val="00695E8A"/>
    <w:rsid w:val="006A4B78"/>
    <w:rsid w:val="006A7260"/>
    <w:rsid w:val="006B41EB"/>
    <w:rsid w:val="006C0482"/>
    <w:rsid w:val="006C1360"/>
    <w:rsid w:val="006C37E2"/>
    <w:rsid w:val="006D13E2"/>
    <w:rsid w:val="006E198A"/>
    <w:rsid w:val="006E1FB0"/>
    <w:rsid w:val="006F42E7"/>
    <w:rsid w:val="00701C19"/>
    <w:rsid w:val="0071198B"/>
    <w:rsid w:val="00715001"/>
    <w:rsid w:val="007454BA"/>
    <w:rsid w:val="00752895"/>
    <w:rsid w:val="0076053F"/>
    <w:rsid w:val="0076324B"/>
    <w:rsid w:val="00767585"/>
    <w:rsid w:val="00772FB5"/>
    <w:rsid w:val="007744C9"/>
    <w:rsid w:val="00782E0A"/>
    <w:rsid w:val="00786B52"/>
    <w:rsid w:val="00787CB8"/>
    <w:rsid w:val="007964D5"/>
    <w:rsid w:val="007C02D0"/>
    <w:rsid w:val="007C6129"/>
    <w:rsid w:val="007C7BAA"/>
    <w:rsid w:val="007D6359"/>
    <w:rsid w:val="007F169E"/>
    <w:rsid w:val="007F6A87"/>
    <w:rsid w:val="00801468"/>
    <w:rsid w:val="0080752B"/>
    <w:rsid w:val="00814813"/>
    <w:rsid w:val="00814BC4"/>
    <w:rsid w:val="00821318"/>
    <w:rsid w:val="008226F8"/>
    <w:rsid w:val="00827254"/>
    <w:rsid w:val="00827E01"/>
    <w:rsid w:val="0083438C"/>
    <w:rsid w:val="00840D98"/>
    <w:rsid w:val="00853090"/>
    <w:rsid w:val="008560A2"/>
    <w:rsid w:val="008611B6"/>
    <w:rsid w:val="0086289D"/>
    <w:rsid w:val="00866F8C"/>
    <w:rsid w:val="00872919"/>
    <w:rsid w:val="008758B4"/>
    <w:rsid w:val="00880E6F"/>
    <w:rsid w:val="00882410"/>
    <w:rsid w:val="00882B4D"/>
    <w:rsid w:val="00883905"/>
    <w:rsid w:val="0088688E"/>
    <w:rsid w:val="0089457C"/>
    <w:rsid w:val="008A2656"/>
    <w:rsid w:val="008A32A0"/>
    <w:rsid w:val="008A5B0D"/>
    <w:rsid w:val="008A740F"/>
    <w:rsid w:val="008B5F09"/>
    <w:rsid w:val="008D0FB6"/>
    <w:rsid w:val="008E0990"/>
    <w:rsid w:val="008E5910"/>
    <w:rsid w:val="008E6971"/>
    <w:rsid w:val="008F32F6"/>
    <w:rsid w:val="008F6E27"/>
    <w:rsid w:val="00915889"/>
    <w:rsid w:val="00917C3B"/>
    <w:rsid w:val="00917F45"/>
    <w:rsid w:val="009211D8"/>
    <w:rsid w:val="009302B0"/>
    <w:rsid w:val="00930913"/>
    <w:rsid w:val="0096160A"/>
    <w:rsid w:val="00965AC5"/>
    <w:rsid w:val="009761D3"/>
    <w:rsid w:val="009774F0"/>
    <w:rsid w:val="00981132"/>
    <w:rsid w:val="00982C01"/>
    <w:rsid w:val="00986BC5"/>
    <w:rsid w:val="009930CE"/>
    <w:rsid w:val="00996711"/>
    <w:rsid w:val="009A003D"/>
    <w:rsid w:val="009A7C2D"/>
    <w:rsid w:val="009B0CF7"/>
    <w:rsid w:val="009B285F"/>
    <w:rsid w:val="009C0E5C"/>
    <w:rsid w:val="009C1ADC"/>
    <w:rsid w:val="009D403F"/>
    <w:rsid w:val="009D5879"/>
    <w:rsid w:val="009D6504"/>
    <w:rsid w:val="009F55DD"/>
    <w:rsid w:val="009F65AE"/>
    <w:rsid w:val="00A012BD"/>
    <w:rsid w:val="00A072CF"/>
    <w:rsid w:val="00A100F5"/>
    <w:rsid w:val="00A11DEE"/>
    <w:rsid w:val="00A11E5C"/>
    <w:rsid w:val="00A12201"/>
    <w:rsid w:val="00A26B83"/>
    <w:rsid w:val="00A27720"/>
    <w:rsid w:val="00A33749"/>
    <w:rsid w:val="00A3479B"/>
    <w:rsid w:val="00A40425"/>
    <w:rsid w:val="00A44105"/>
    <w:rsid w:val="00A632F6"/>
    <w:rsid w:val="00A7047B"/>
    <w:rsid w:val="00A71044"/>
    <w:rsid w:val="00A71B1D"/>
    <w:rsid w:val="00A8019C"/>
    <w:rsid w:val="00A97F28"/>
    <w:rsid w:val="00AA00C1"/>
    <w:rsid w:val="00AB2A82"/>
    <w:rsid w:val="00AB3002"/>
    <w:rsid w:val="00AB5271"/>
    <w:rsid w:val="00AC44B0"/>
    <w:rsid w:val="00AC4541"/>
    <w:rsid w:val="00AD4F2E"/>
    <w:rsid w:val="00AE2912"/>
    <w:rsid w:val="00AE31FA"/>
    <w:rsid w:val="00AE6EE0"/>
    <w:rsid w:val="00AF3137"/>
    <w:rsid w:val="00AF4702"/>
    <w:rsid w:val="00B02D1A"/>
    <w:rsid w:val="00B032A4"/>
    <w:rsid w:val="00B158DA"/>
    <w:rsid w:val="00B17A4B"/>
    <w:rsid w:val="00B20E41"/>
    <w:rsid w:val="00B2191C"/>
    <w:rsid w:val="00B21D5A"/>
    <w:rsid w:val="00B2425A"/>
    <w:rsid w:val="00B2439B"/>
    <w:rsid w:val="00B26FD1"/>
    <w:rsid w:val="00B27C7A"/>
    <w:rsid w:val="00B3000A"/>
    <w:rsid w:val="00B569F9"/>
    <w:rsid w:val="00B6234D"/>
    <w:rsid w:val="00B65BC8"/>
    <w:rsid w:val="00B66588"/>
    <w:rsid w:val="00B72C16"/>
    <w:rsid w:val="00B73C10"/>
    <w:rsid w:val="00B749EC"/>
    <w:rsid w:val="00B855F6"/>
    <w:rsid w:val="00B90A91"/>
    <w:rsid w:val="00B95332"/>
    <w:rsid w:val="00BA28DE"/>
    <w:rsid w:val="00BA36A7"/>
    <w:rsid w:val="00BA6097"/>
    <w:rsid w:val="00BA76D0"/>
    <w:rsid w:val="00BB40B2"/>
    <w:rsid w:val="00BB7888"/>
    <w:rsid w:val="00BC21C8"/>
    <w:rsid w:val="00BC2B4B"/>
    <w:rsid w:val="00BC53D2"/>
    <w:rsid w:val="00BD603D"/>
    <w:rsid w:val="00BE5B2C"/>
    <w:rsid w:val="00BF4837"/>
    <w:rsid w:val="00C063F0"/>
    <w:rsid w:val="00C07C59"/>
    <w:rsid w:val="00C162D3"/>
    <w:rsid w:val="00C269C0"/>
    <w:rsid w:val="00C50BFC"/>
    <w:rsid w:val="00C5429B"/>
    <w:rsid w:val="00C56242"/>
    <w:rsid w:val="00C57F0C"/>
    <w:rsid w:val="00C74642"/>
    <w:rsid w:val="00C859C9"/>
    <w:rsid w:val="00C9049C"/>
    <w:rsid w:val="00C94A37"/>
    <w:rsid w:val="00C951E3"/>
    <w:rsid w:val="00CA1498"/>
    <w:rsid w:val="00CA3C7C"/>
    <w:rsid w:val="00CB4505"/>
    <w:rsid w:val="00CC1A9E"/>
    <w:rsid w:val="00CC6D79"/>
    <w:rsid w:val="00CD3410"/>
    <w:rsid w:val="00CE214B"/>
    <w:rsid w:val="00CE27F3"/>
    <w:rsid w:val="00CE72FF"/>
    <w:rsid w:val="00CF53D0"/>
    <w:rsid w:val="00CF6788"/>
    <w:rsid w:val="00CF7D31"/>
    <w:rsid w:val="00D023F4"/>
    <w:rsid w:val="00D21D1F"/>
    <w:rsid w:val="00D221DB"/>
    <w:rsid w:val="00D271E7"/>
    <w:rsid w:val="00D32D70"/>
    <w:rsid w:val="00D44283"/>
    <w:rsid w:val="00D53765"/>
    <w:rsid w:val="00D55D3D"/>
    <w:rsid w:val="00D608CB"/>
    <w:rsid w:val="00D60E19"/>
    <w:rsid w:val="00D63C0C"/>
    <w:rsid w:val="00D66BB2"/>
    <w:rsid w:val="00D66F28"/>
    <w:rsid w:val="00D741EF"/>
    <w:rsid w:val="00D764E2"/>
    <w:rsid w:val="00D957C9"/>
    <w:rsid w:val="00DA7A61"/>
    <w:rsid w:val="00DB042F"/>
    <w:rsid w:val="00DB68AD"/>
    <w:rsid w:val="00DD4CF7"/>
    <w:rsid w:val="00DE1F65"/>
    <w:rsid w:val="00DE7D2F"/>
    <w:rsid w:val="00DF0F1C"/>
    <w:rsid w:val="00DF5A72"/>
    <w:rsid w:val="00E0240E"/>
    <w:rsid w:val="00E02E95"/>
    <w:rsid w:val="00E130F4"/>
    <w:rsid w:val="00E15590"/>
    <w:rsid w:val="00E176B1"/>
    <w:rsid w:val="00E26C1E"/>
    <w:rsid w:val="00E34F74"/>
    <w:rsid w:val="00E3671A"/>
    <w:rsid w:val="00E510F7"/>
    <w:rsid w:val="00E6300E"/>
    <w:rsid w:val="00E65209"/>
    <w:rsid w:val="00E70B00"/>
    <w:rsid w:val="00E7123C"/>
    <w:rsid w:val="00E71487"/>
    <w:rsid w:val="00E94558"/>
    <w:rsid w:val="00E94DAD"/>
    <w:rsid w:val="00E9656D"/>
    <w:rsid w:val="00E97064"/>
    <w:rsid w:val="00E97673"/>
    <w:rsid w:val="00EA5334"/>
    <w:rsid w:val="00EB45B5"/>
    <w:rsid w:val="00EE1E85"/>
    <w:rsid w:val="00EE6E8E"/>
    <w:rsid w:val="00EF139C"/>
    <w:rsid w:val="00F054D5"/>
    <w:rsid w:val="00F12295"/>
    <w:rsid w:val="00F14F1F"/>
    <w:rsid w:val="00F219BE"/>
    <w:rsid w:val="00F3196A"/>
    <w:rsid w:val="00F364DA"/>
    <w:rsid w:val="00F36699"/>
    <w:rsid w:val="00F36BAA"/>
    <w:rsid w:val="00F515A7"/>
    <w:rsid w:val="00F560FE"/>
    <w:rsid w:val="00F569FA"/>
    <w:rsid w:val="00F61465"/>
    <w:rsid w:val="00F653F0"/>
    <w:rsid w:val="00F770EF"/>
    <w:rsid w:val="00F82C5C"/>
    <w:rsid w:val="00F83DC1"/>
    <w:rsid w:val="00F94916"/>
    <w:rsid w:val="00F97B7F"/>
    <w:rsid w:val="00FA7AD9"/>
    <w:rsid w:val="00FB2B11"/>
    <w:rsid w:val="00FB2ECB"/>
    <w:rsid w:val="00FC39D2"/>
    <w:rsid w:val="00FC6204"/>
    <w:rsid w:val="00FC6B8A"/>
    <w:rsid w:val="00FD2931"/>
    <w:rsid w:val="00FD586D"/>
    <w:rsid w:val="00FE1672"/>
    <w:rsid w:val="00FE2AF5"/>
    <w:rsid w:val="00FE7F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4C5E"/>
  <w15:chartTrackingRefBased/>
  <w15:docId w15:val="{F1F27753-ED5F-4A39-AABA-FA9F854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0A0"/>
    <w:pPr>
      <w:spacing w:after="0" w:line="300" w:lineRule="auto"/>
      <w:jc w:val="both"/>
    </w:pPr>
    <w:rPr>
      <w:sz w:val="24"/>
    </w:rPr>
  </w:style>
  <w:style w:type="paragraph" w:styleId="Heading2">
    <w:name w:val="heading 2"/>
    <w:basedOn w:val="Normal"/>
    <w:next w:val="Normal"/>
    <w:link w:val="Heading2Char"/>
    <w:autoRedefine/>
    <w:uiPriority w:val="9"/>
    <w:unhideWhenUsed/>
    <w:qFormat/>
    <w:rsid w:val="001F00A0"/>
    <w:pPr>
      <w:keepNext/>
      <w:keepLines/>
      <w:outlineLvl w:val="1"/>
    </w:pPr>
    <w:rPr>
      <w:rFonts w:asciiTheme="majorHAnsi" w:eastAsiaTheme="majorEastAsia" w:hAnsiTheme="majorHAns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code">
    <w:name w:val="Compcode"/>
    <w:basedOn w:val="DefaultParagraphFont"/>
    <w:uiPriority w:val="1"/>
    <w:qFormat/>
    <w:rsid w:val="00112F97"/>
    <w:rPr>
      <w:rFonts w:ascii="Courier New" w:hAnsi="Courier New"/>
    </w:rPr>
  </w:style>
  <w:style w:type="character" w:customStyle="1" w:styleId="Heading2Char">
    <w:name w:val="Heading 2 Char"/>
    <w:basedOn w:val="DefaultParagraphFont"/>
    <w:link w:val="Heading2"/>
    <w:uiPriority w:val="9"/>
    <w:rsid w:val="001F00A0"/>
    <w:rPr>
      <w:rFonts w:asciiTheme="majorHAnsi" w:eastAsiaTheme="majorEastAsia" w:hAnsiTheme="majorHAnsi" w:cstheme="majorBidi"/>
      <w:i/>
      <w:sz w:val="26"/>
      <w:szCs w:val="26"/>
    </w:rPr>
  </w:style>
  <w:style w:type="table" w:styleId="TableGrid">
    <w:name w:val="Table Grid"/>
    <w:basedOn w:val="TableNormal"/>
    <w:uiPriority w:val="39"/>
    <w:rsid w:val="001F00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7FD"/>
    <w:rPr>
      <w:color w:val="808080"/>
    </w:rPr>
  </w:style>
  <w:style w:type="paragraph" w:styleId="ListParagraph">
    <w:name w:val="List Paragraph"/>
    <w:basedOn w:val="Normal"/>
    <w:uiPriority w:val="34"/>
    <w:qFormat/>
    <w:rsid w:val="005248F0"/>
    <w:pPr>
      <w:ind w:left="720"/>
      <w:contextualSpacing/>
    </w:pPr>
  </w:style>
  <w:style w:type="paragraph" w:styleId="BalloonText">
    <w:name w:val="Balloon Text"/>
    <w:basedOn w:val="Normal"/>
    <w:link w:val="BalloonTextChar"/>
    <w:uiPriority w:val="99"/>
    <w:semiHidden/>
    <w:unhideWhenUsed/>
    <w:rsid w:val="009D5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79"/>
    <w:rPr>
      <w:rFonts w:ascii="Segoe UI" w:hAnsi="Segoe UI" w:cs="Segoe UI"/>
      <w:sz w:val="18"/>
      <w:szCs w:val="18"/>
    </w:rPr>
  </w:style>
  <w:style w:type="table" w:customStyle="1" w:styleId="TableGrid1">
    <w:name w:val="Table Grid1"/>
    <w:basedOn w:val="TableNormal"/>
    <w:next w:val="TableGrid"/>
    <w:uiPriority w:val="39"/>
    <w:rsid w:val="00F364D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F0F1C"/>
  </w:style>
  <w:style w:type="character" w:customStyle="1" w:styleId="jrnl">
    <w:name w:val="jrnl"/>
    <w:basedOn w:val="DefaultParagraphFont"/>
    <w:rsid w:val="00081903"/>
  </w:style>
  <w:style w:type="paragraph" w:styleId="NormalWeb">
    <w:name w:val="Normal (Web)"/>
    <w:basedOn w:val="Normal"/>
    <w:uiPriority w:val="99"/>
    <w:semiHidden/>
    <w:unhideWhenUsed/>
    <w:rsid w:val="00BA36A7"/>
    <w:pPr>
      <w:spacing w:before="100" w:beforeAutospacing="1" w:after="100" w:afterAutospacing="1" w:line="240" w:lineRule="auto"/>
      <w:jc w:val="left"/>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0C5427"/>
    <w:rPr>
      <w:color w:val="0563C1" w:themeColor="hyperlink"/>
      <w:u w:val="single"/>
    </w:rPr>
  </w:style>
  <w:style w:type="character" w:styleId="FollowedHyperlink">
    <w:name w:val="FollowedHyperlink"/>
    <w:basedOn w:val="DefaultParagraphFont"/>
    <w:uiPriority w:val="99"/>
    <w:semiHidden/>
    <w:unhideWhenUsed/>
    <w:rsid w:val="000C5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886">
      <w:bodyDiv w:val="1"/>
      <w:marLeft w:val="0"/>
      <w:marRight w:val="0"/>
      <w:marTop w:val="0"/>
      <w:marBottom w:val="0"/>
      <w:divBdr>
        <w:top w:val="none" w:sz="0" w:space="0" w:color="auto"/>
        <w:left w:val="none" w:sz="0" w:space="0" w:color="auto"/>
        <w:bottom w:val="none" w:sz="0" w:space="0" w:color="auto"/>
        <w:right w:val="none" w:sz="0" w:space="0" w:color="auto"/>
      </w:divBdr>
    </w:div>
    <w:div w:id="747458662">
      <w:bodyDiv w:val="1"/>
      <w:marLeft w:val="0"/>
      <w:marRight w:val="0"/>
      <w:marTop w:val="0"/>
      <w:marBottom w:val="0"/>
      <w:divBdr>
        <w:top w:val="none" w:sz="0" w:space="0" w:color="auto"/>
        <w:left w:val="none" w:sz="0" w:space="0" w:color="auto"/>
        <w:bottom w:val="none" w:sz="0" w:space="0" w:color="auto"/>
        <w:right w:val="none" w:sz="0" w:space="0" w:color="auto"/>
      </w:divBdr>
    </w:div>
    <w:div w:id="879244749">
      <w:bodyDiv w:val="1"/>
      <w:marLeft w:val="0"/>
      <w:marRight w:val="0"/>
      <w:marTop w:val="0"/>
      <w:marBottom w:val="0"/>
      <w:divBdr>
        <w:top w:val="none" w:sz="0" w:space="0" w:color="auto"/>
        <w:left w:val="none" w:sz="0" w:space="0" w:color="auto"/>
        <w:bottom w:val="none" w:sz="0" w:space="0" w:color="auto"/>
        <w:right w:val="none" w:sz="0" w:space="0" w:color="auto"/>
      </w:divBdr>
    </w:div>
    <w:div w:id="1204292745">
      <w:bodyDiv w:val="1"/>
      <w:marLeft w:val="0"/>
      <w:marRight w:val="0"/>
      <w:marTop w:val="0"/>
      <w:marBottom w:val="0"/>
      <w:divBdr>
        <w:top w:val="none" w:sz="0" w:space="0" w:color="auto"/>
        <w:left w:val="none" w:sz="0" w:space="0" w:color="auto"/>
        <w:bottom w:val="none" w:sz="0" w:space="0" w:color="auto"/>
        <w:right w:val="none" w:sz="0" w:space="0" w:color="auto"/>
      </w:divBdr>
    </w:div>
    <w:div w:id="1243220642">
      <w:bodyDiv w:val="1"/>
      <w:marLeft w:val="0"/>
      <w:marRight w:val="0"/>
      <w:marTop w:val="0"/>
      <w:marBottom w:val="0"/>
      <w:divBdr>
        <w:top w:val="none" w:sz="0" w:space="0" w:color="auto"/>
        <w:left w:val="none" w:sz="0" w:space="0" w:color="auto"/>
        <w:bottom w:val="none" w:sz="0" w:space="0" w:color="auto"/>
        <w:right w:val="none" w:sz="0" w:space="0" w:color="auto"/>
      </w:divBdr>
    </w:div>
    <w:div w:id="1290474512">
      <w:bodyDiv w:val="1"/>
      <w:marLeft w:val="0"/>
      <w:marRight w:val="0"/>
      <w:marTop w:val="0"/>
      <w:marBottom w:val="0"/>
      <w:divBdr>
        <w:top w:val="none" w:sz="0" w:space="0" w:color="auto"/>
        <w:left w:val="none" w:sz="0" w:space="0" w:color="auto"/>
        <w:bottom w:val="none" w:sz="0" w:space="0" w:color="auto"/>
        <w:right w:val="none" w:sz="0" w:space="0" w:color="auto"/>
      </w:divBdr>
    </w:div>
    <w:div w:id="1359745299">
      <w:bodyDiv w:val="1"/>
      <w:marLeft w:val="0"/>
      <w:marRight w:val="0"/>
      <w:marTop w:val="0"/>
      <w:marBottom w:val="0"/>
      <w:divBdr>
        <w:top w:val="none" w:sz="0" w:space="0" w:color="auto"/>
        <w:left w:val="none" w:sz="0" w:space="0" w:color="auto"/>
        <w:bottom w:val="none" w:sz="0" w:space="0" w:color="auto"/>
        <w:right w:val="none" w:sz="0" w:space="0" w:color="auto"/>
      </w:divBdr>
    </w:div>
    <w:div w:id="1391539314">
      <w:bodyDiv w:val="1"/>
      <w:marLeft w:val="0"/>
      <w:marRight w:val="0"/>
      <w:marTop w:val="0"/>
      <w:marBottom w:val="0"/>
      <w:divBdr>
        <w:top w:val="none" w:sz="0" w:space="0" w:color="auto"/>
        <w:left w:val="none" w:sz="0" w:space="0" w:color="auto"/>
        <w:bottom w:val="none" w:sz="0" w:space="0" w:color="auto"/>
        <w:right w:val="none" w:sz="0" w:space="0" w:color="auto"/>
      </w:divBdr>
    </w:div>
    <w:div w:id="1445349004">
      <w:bodyDiv w:val="1"/>
      <w:marLeft w:val="0"/>
      <w:marRight w:val="0"/>
      <w:marTop w:val="0"/>
      <w:marBottom w:val="0"/>
      <w:divBdr>
        <w:top w:val="none" w:sz="0" w:space="0" w:color="auto"/>
        <w:left w:val="none" w:sz="0" w:space="0" w:color="auto"/>
        <w:bottom w:val="none" w:sz="0" w:space="0" w:color="auto"/>
        <w:right w:val="none" w:sz="0" w:space="0" w:color="auto"/>
      </w:divBdr>
    </w:div>
    <w:div w:id="1621454785">
      <w:bodyDiv w:val="1"/>
      <w:marLeft w:val="0"/>
      <w:marRight w:val="0"/>
      <w:marTop w:val="0"/>
      <w:marBottom w:val="0"/>
      <w:divBdr>
        <w:top w:val="none" w:sz="0" w:space="0" w:color="auto"/>
        <w:left w:val="none" w:sz="0" w:space="0" w:color="auto"/>
        <w:bottom w:val="none" w:sz="0" w:space="0" w:color="auto"/>
        <w:right w:val="none" w:sz="0" w:space="0" w:color="auto"/>
      </w:divBdr>
    </w:div>
    <w:div w:id="2041740399">
      <w:bodyDiv w:val="1"/>
      <w:marLeft w:val="0"/>
      <w:marRight w:val="0"/>
      <w:marTop w:val="0"/>
      <w:marBottom w:val="0"/>
      <w:divBdr>
        <w:top w:val="none" w:sz="0" w:space="0" w:color="auto"/>
        <w:left w:val="none" w:sz="0" w:space="0" w:color="auto"/>
        <w:bottom w:val="none" w:sz="0" w:space="0" w:color="auto"/>
        <w:right w:val="none" w:sz="0" w:space="0" w:color="auto"/>
      </w:divBdr>
    </w:div>
    <w:div w:id="21139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JNN3rL" TargetMode="External"/><Relationship Id="rId13" Type="http://schemas.openxmlformats.org/officeDocument/2006/relationships/image" Target="media/image2.png"/><Relationship Id="rId18" Type="http://schemas.openxmlformats.org/officeDocument/2006/relationships/hyperlink" Target="https://www.ncbi.nlm.nih.gov/pubmed/2928976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t.ly/2YdRVtV" TargetMode="External"/><Relationship Id="rId7" Type="http://schemas.openxmlformats.org/officeDocument/2006/relationships/hyperlink" Target="https://bit.ly/2YdRVtV" TargetMode="External"/><Relationship Id="rId12" Type="http://schemas.openxmlformats.org/officeDocument/2006/relationships/hyperlink" Target="https://www.ncbi.nlm.nih.gov/pubmed/22579085" TargetMode="External"/><Relationship Id="rId17" Type="http://schemas.openxmlformats.org/officeDocument/2006/relationships/hyperlink" Target="https://www.ncbi.nlm.nih.gov/pubmed/12114036" TargetMode="External"/><Relationship Id="rId25" Type="http://schemas.openxmlformats.org/officeDocument/2006/relationships/hyperlink" Target="https://www.conted.ox.ac.uk/about/msc-in-ebhc-systematic-review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an.r-project.org/web/packages/dosresmeta/index.html" TargetMode="External"/><Relationship Id="rId24" Type="http://schemas.openxmlformats.org/officeDocument/2006/relationships/hyperlink" Target="https://www.conted.ox.ac.uk/about/msc-in-ebhc-medical-statistics" TargetMode="External"/><Relationship Id="rId5" Type="http://schemas.openxmlformats.org/officeDocument/2006/relationships/webSettings" Target="webSettings.xml"/><Relationship Id="rId15" Type="http://schemas.openxmlformats.org/officeDocument/2006/relationships/hyperlink" Target="https://www.ncbi.nlm.nih.gov/pubmed/24907285" TargetMode="External"/><Relationship Id="rId23" Type="http://schemas.openxmlformats.org/officeDocument/2006/relationships/hyperlink" Target="https://www.conted.ox.ac.uk/about/msc-in-evidence-based-health-care" TargetMode="External"/><Relationship Id="rId10" Type="http://schemas.openxmlformats.org/officeDocument/2006/relationships/hyperlink" Target="https://www.stata-journal.com/article.html?article=st0096" TargetMode="External"/><Relationship Id="rId19" Type="http://schemas.openxmlformats.org/officeDocument/2006/relationships/hyperlink" Target="https://www.ncbi.nlm.nih.gov/pubmed/8797521" TargetMode="External"/><Relationship Id="rId4" Type="http://schemas.openxmlformats.org/officeDocument/2006/relationships/settings" Target="settings.xml"/><Relationship Id="rId9" Type="http://schemas.openxmlformats.org/officeDocument/2006/relationships/hyperlink" Target="https://www.ncbi.nlm.nih.gov/pubmed/1626547" TargetMode="External"/><Relationship Id="rId14" Type="http://schemas.openxmlformats.org/officeDocument/2006/relationships/image" Target="media/image3.png"/><Relationship Id="rId22" Type="http://schemas.openxmlformats.org/officeDocument/2006/relationships/hyperlink" Target="https://www.conted.ox.ac.uk/courses/meta-analysis%3c/li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FE35590-C633-42C2-8C2A-E0A88D99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Stevens</dc:creator>
  <cp:keywords/>
  <dc:description/>
  <cp:lastModifiedBy>Alice Crouch</cp:lastModifiedBy>
  <cp:revision>18</cp:revision>
  <cp:lastPrinted>2019-01-14T23:01:00Z</cp:lastPrinted>
  <dcterms:created xsi:type="dcterms:W3CDTF">2019-04-09T19:39:00Z</dcterms:created>
  <dcterms:modified xsi:type="dcterms:W3CDTF">2019-10-02T08:27:00Z</dcterms:modified>
</cp:coreProperties>
</file>