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38" w:rsidRDefault="00E51AFB" w:rsidP="00164538">
      <w:pPr>
        <w:rPr>
          <w:b/>
        </w:rPr>
      </w:pPr>
      <w:r>
        <w:rPr>
          <w:b/>
        </w:rPr>
        <w:t>Tip for</w:t>
      </w:r>
      <w:r w:rsidR="00786B52">
        <w:rPr>
          <w:b/>
        </w:rPr>
        <w:t xml:space="preserve"> d</w:t>
      </w:r>
      <w:r w:rsidR="00164538">
        <w:rPr>
          <w:b/>
        </w:rPr>
        <w:t xml:space="preserve">ata extraction </w:t>
      </w:r>
      <w:r w:rsidR="00165841">
        <w:rPr>
          <w:b/>
        </w:rPr>
        <w:t>for</w:t>
      </w:r>
      <w:r w:rsidR="00164538">
        <w:rPr>
          <w:b/>
        </w:rPr>
        <w:t xml:space="preserve"> meta-analysis </w:t>
      </w:r>
      <w:r w:rsidR="00786B52">
        <w:rPr>
          <w:b/>
        </w:rPr>
        <w:t>-</w:t>
      </w:r>
      <w:r w:rsidR="00164538">
        <w:rPr>
          <w:b/>
        </w:rPr>
        <w:t xml:space="preserve"> </w:t>
      </w:r>
      <w:r w:rsidR="00C94A37">
        <w:rPr>
          <w:b/>
        </w:rPr>
        <w:t>4</w:t>
      </w:r>
    </w:p>
    <w:p w:rsidR="00567608" w:rsidRDefault="00567608" w:rsidP="00567608">
      <w:pPr>
        <w:jc w:val="center"/>
      </w:pPr>
      <w:r>
        <w:rPr>
          <w:noProof/>
          <w:lang w:eastAsia="zh-CN"/>
        </w:rPr>
        <w:drawing>
          <wp:inline distT="0" distB="0" distL="0" distR="0" wp14:anchorId="336936E2" wp14:editId="666B43CE">
            <wp:extent cx="3483893" cy="17221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png"/>
                    <pic:cNvPicPr/>
                  </pic:nvPicPr>
                  <pic:blipFill>
                    <a:blip r:embed="rId6">
                      <a:extLst>
                        <a:ext uri="{28A0092B-C50C-407E-A947-70E740481C1C}">
                          <a14:useLocalDpi xmlns:a14="http://schemas.microsoft.com/office/drawing/2010/main" val="0"/>
                        </a:ext>
                      </a:extLst>
                    </a:blip>
                    <a:stretch>
                      <a:fillRect/>
                    </a:stretch>
                  </pic:blipFill>
                  <pic:spPr>
                    <a:xfrm>
                      <a:off x="0" y="0"/>
                      <a:ext cx="3486877" cy="1723595"/>
                    </a:xfrm>
                    <a:prstGeom prst="rect">
                      <a:avLst/>
                    </a:prstGeom>
                  </pic:spPr>
                </pic:pic>
              </a:graphicData>
            </a:graphic>
          </wp:inline>
        </w:drawing>
      </w:r>
    </w:p>
    <w:p w:rsidR="005E3D36" w:rsidRPr="005E3D36" w:rsidRDefault="005E3D36" w:rsidP="005E3D36">
      <w:pPr>
        <w:rPr>
          <w:i/>
        </w:rPr>
      </w:pPr>
      <w:r w:rsidRPr="005E3D36">
        <w:rPr>
          <w:i/>
        </w:rPr>
        <w:t xml:space="preserve">What can you do when prognostic studies </w:t>
      </w:r>
      <w:r w:rsidR="003378D4">
        <w:rPr>
          <w:i/>
        </w:rPr>
        <w:t xml:space="preserve">report </w:t>
      </w:r>
      <w:r w:rsidRPr="005E3D36">
        <w:rPr>
          <w:i/>
        </w:rPr>
        <w:t xml:space="preserve">measures of risk on different scales?  </w:t>
      </w:r>
    </w:p>
    <w:p w:rsidR="005E3D36" w:rsidRPr="005E3D36" w:rsidRDefault="005E3D36" w:rsidP="005E3D36">
      <w:r w:rsidRPr="005E3D36">
        <w:t>Kathy Taylor</w:t>
      </w:r>
    </w:p>
    <w:p w:rsidR="005E3D36" w:rsidRDefault="005E3D36" w:rsidP="005E3D36"/>
    <w:p w:rsidR="00510A34" w:rsidRDefault="002731A1" w:rsidP="00C94A37">
      <w:hyperlink r:id="rId7" w:history="1">
        <w:r w:rsidR="00BC53D2" w:rsidRPr="005472CC">
          <w:rPr>
            <w:rStyle w:val="Hyperlink"/>
          </w:rPr>
          <w:t>Previously</w:t>
        </w:r>
      </w:hyperlink>
      <w:r w:rsidR="00E1779C">
        <w:t>,</w:t>
      </w:r>
      <w:r w:rsidR="003E68DD">
        <w:t xml:space="preserve"> </w:t>
      </w:r>
      <w:r w:rsidR="003E34A4">
        <w:t xml:space="preserve">I </w:t>
      </w:r>
      <w:r w:rsidR="00F3196A">
        <w:t xml:space="preserve">gave </w:t>
      </w:r>
      <w:r w:rsidR="005472CC">
        <w:t xml:space="preserve">a set of </w:t>
      </w:r>
      <w:r w:rsidR="00F3196A">
        <w:t xml:space="preserve">tips for </w:t>
      </w:r>
      <w:r w:rsidR="00690B8B">
        <w:t>extractin</w:t>
      </w:r>
      <w:r w:rsidR="00F3196A">
        <w:t>g data from</w:t>
      </w:r>
      <w:r w:rsidR="00690B8B">
        <w:t xml:space="preserve"> diagnostic accuracy studies</w:t>
      </w:r>
      <w:r w:rsidR="00C94A37">
        <w:t xml:space="preserve">. I’ll </w:t>
      </w:r>
      <w:r w:rsidR="00A632F6">
        <w:t>now look at a different study design</w:t>
      </w:r>
      <w:r w:rsidR="00E97673">
        <w:t>,</w:t>
      </w:r>
      <w:r w:rsidR="00A632F6">
        <w:t xml:space="preserve"> </w:t>
      </w:r>
      <w:r w:rsidR="00C94A37">
        <w:t>prognostic studies</w:t>
      </w:r>
      <w:r w:rsidR="00E97673">
        <w:t>,</w:t>
      </w:r>
      <w:r w:rsidR="0004354A">
        <w:t xml:space="preserve"> and consider a problem </w:t>
      </w:r>
      <w:r w:rsidR="00E46418">
        <w:t>with extracting hazard ratios</w:t>
      </w:r>
      <w:r w:rsidR="00C57CD2">
        <w:t xml:space="preserve">, </w:t>
      </w:r>
      <w:r w:rsidR="00E46418">
        <w:t>relative risks</w:t>
      </w:r>
      <w:r w:rsidR="00C57CD2">
        <w:t xml:space="preserve"> and odds ratios</w:t>
      </w:r>
      <w:r w:rsidR="00510A34">
        <w:t xml:space="preserve">. </w:t>
      </w:r>
      <w:r w:rsidR="003378D4">
        <w:t>I’ll focus on hazard ratios, but my tip will also apply to relative risks</w:t>
      </w:r>
      <w:r w:rsidR="00E4590A">
        <w:t xml:space="preserve"> and odds ratios</w:t>
      </w:r>
      <w:r w:rsidR="003378D4">
        <w:t>.</w:t>
      </w:r>
    </w:p>
    <w:p w:rsidR="00786B52" w:rsidRDefault="00786B52" w:rsidP="00C94A37"/>
    <w:p w:rsidR="005566AB" w:rsidRDefault="0004354A" w:rsidP="00C94A37">
      <w:r>
        <w:t>F</w:t>
      </w:r>
      <w:r w:rsidR="00E97673">
        <w:t>irst some</w:t>
      </w:r>
      <w:r>
        <w:t xml:space="preserve"> background. </w:t>
      </w:r>
      <w:r w:rsidR="004A2803" w:rsidRPr="004A2803">
        <w:t>Hazard ratios (HRs), also known as relative hazards, measure time-to-event data</w:t>
      </w:r>
      <w:r w:rsidR="00782E0A">
        <w:t xml:space="preserve"> such as</w:t>
      </w:r>
      <w:r w:rsidR="004E32DC">
        <w:t xml:space="preserve"> </w:t>
      </w:r>
      <w:r w:rsidR="00131C6D">
        <w:t xml:space="preserve">the </w:t>
      </w:r>
      <w:r w:rsidR="00030E37">
        <w:t xml:space="preserve">time to a cardiovascular event </w:t>
      </w:r>
      <w:r w:rsidR="0089457C">
        <w:t xml:space="preserve">or </w:t>
      </w:r>
      <w:r w:rsidR="00782E0A">
        <w:t xml:space="preserve">the </w:t>
      </w:r>
      <w:r w:rsidR="0089457C">
        <w:t>onset of diabetes</w:t>
      </w:r>
      <w:r w:rsidR="004A2803" w:rsidRPr="004A2803">
        <w:t xml:space="preserve">. </w:t>
      </w:r>
      <w:r w:rsidR="00A71B1D">
        <w:t xml:space="preserve">A </w:t>
      </w:r>
      <w:r w:rsidR="004E32DC">
        <w:t>HR</w:t>
      </w:r>
      <w:r w:rsidR="004A2803" w:rsidRPr="004A2803">
        <w:t xml:space="preserve"> </w:t>
      </w:r>
      <w:r w:rsidR="00131C6D">
        <w:t xml:space="preserve">may be used </w:t>
      </w:r>
      <w:r w:rsidR="004A2803" w:rsidRPr="004A2803">
        <w:t>to compare the risk of two groups</w:t>
      </w:r>
      <w:r w:rsidR="00AA00C1">
        <w:t>.</w:t>
      </w:r>
      <w:r w:rsidR="007D6359">
        <w:t xml:space="preserve"> F</w:t>
      </w:r>
      <w:r w:rsidR="003B340D">
        <w:t>or example</w:t>
      </w:r>
      <w:r w:rsidR="007D6359">
        <w:t>,</w:t>
      </w:r>
      <w:r w:rsidR="003378D4">
        <w:t xml:space="preserve"> a </w:t>
      </w:r>
      <w:hyperlink r:id="rId8" w:history="1">
        <w:r w:rsidR="005472CC" w:rsidRPr="005472CC">
          <w:rPr>
            <w:rStyle w:val="Hyperlink"/>
          </w:rPr>
          <w:t>study</w:t>
        </w:r>
      </w:hyperlink>
      <w:r w:rsidR="005472CC">
        <w:t xml:space="preserve"> </w:t>
      </w:r>
      <w:r w:rsidR="003378D4">
        <w:t xml:space="preserve">reports that </w:t>
      </w:r>
      <w:r w:rsidR="007D6359">
        <w:t xml:space="preserve">for people with type 1 diabetes and </w:t>
      </w:r>
      <w:r w:rsidR="00072FF1">
        <w:t xml:space="preserve">diabetic kidney disease, </w:t>
      </w:r>
      <w:r w:rsidR="00A71B1D">
        <w:t xml:space="preserve">those with </w:t>
      </w:r>
      <w:r w:rsidR="003B340D">
        <w:t xml:space="preserve">severe diabetic retinopathy </w:t>
      </w:r>
      <w:r w:rsidR="00A71B1D">
        <w:t>ha</w:t>
      </w:r>
      <w:r w:rsidR="007D6359">
        <w:t>ve</w:t>
      </w:r>
      <w:r w:rsidR="00A71B1D">
        <w:t xml:space="preserve"> </w:t>
      </w:r>
      <w:r w:rsidR="003378D4">
        <w:t xml:space="preserve">46% higher </w:t>
      </w:r>
      <w:r w:rsidR="003B340D">
        <w:t xml:space="preserve">risk of cardiovascular events </w:t>
      </w:r>
      <w:r w:rsidR="003378D4">
        <w:t xml:space="preserve">compared to those without severe diabetic retinopathy </w:t>
      </w:r>
      <w:r w:rsidR="003B340D">
        <w:t xml:space="preserve">(HR 1.46, 95% CI 1.11 to 1.92). </w:t>
      </w:r>
      <w:r w:rsidR="00AA00C1">
        <w:t xml:space="preserve"> </w:t>
      </w:r>
      <w:r w:rsidR="002731A1" w:rsidRPr="002731A1">
        <w:t xml:space="preserve">A HR may also be used to express the change in risk associated with a specified change in a predictor variable. For example, </w:t>
      </w:r>
      <w:hyperlink r:id="rId9" w:history="1">
        <w:r w:rsidR="002731A1" w:rsidRPr="002731A1">
          <w:rPr>
            <w:rStyle w:val="Hyperlink"/>
          </w:rPr>
          <w:t>another study</w:t>
        </w:r>
      </w:hyperlink>
      <w:r w:rsidR="002731A1" w:rsidRPr="002731A1">
        <w:t xml:space="preserve"> reports that a 14mmHG increase in the pre-awakening morning surge in systolic blood pressure in untreated hypertensive patients increases the risk of cardiovascular events by 33% (adjusted HR 1.33, 95% CI 1.01 to 1.06).</w:t>
      </w:r>
    </w:p>
    <w:p w:rsidR="00510A34" w:rsidRDefault="00915889" w:rsidP="00C94A37">
      <w:r>
        <w:t xml:space="preserve"> </w:t>
      </w:r>
    </w:p>
    <w:p w:rsidR="00BC53D2" w:rsidRDefault="002731A1" w:rsidP="005566AB">
      <w:r w:rsidRPr="002731A1">
        <w:t>A HR comparing the risk of two groups from my first example could be pooled with HRs from similar studies that report the risk of the same outcome in the same two groups. However, a similar study to that in my second example may report a HR for the same outcome and same predictor but not the same change in the predictor. These HRs need to be rescaled to a common change.</w:t>
      </w:r>
    </w:p>
    <w:p w:rsidR="002731A1" w:rsidRDefault="002731A1" w:rsidP="005566AB">
      <w:bookmarkStart w:id="0" w:name="_GoBack"/>
      <w:bookmarkEnd w:id="0"/>
    </w:p>
    <w:p w:rsidR="00701C19" w:rsidRDefault="00BC53D2" w:rsidP="00701C19">
      <w:r>
        <w:t>A</w:t>
      </w:r>
      <w:r w:rsidR="00701C19">
        <w:t xml:space="preserve"> bit of maths (see below if you're interested) shows us</w:t>
      </w:r>
      <w:r w:rsidR="007F6A87">
        <w:t>:</w:t>
      </w:r>
    </w:p>
    <w:p w:rsidR="00701C19" w:rsidRPr="003B4968" w:rsidRDefault="002731A1" w:rsidP="005E647D">
      <w:pPr>
        <w:jc w:val="cente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HR</m:t>
              </m:r>
            </m:e>
            <m:sub>
              <m:r>
                <w:rPr>
                  <w:rFonts w:ascii="Cambria Math" w:hAnsi="Cambria Math"/>
                  <w:sz w:val="28"/>
                  <w:szCs w:val="28"/>
                </w:rPr>
                <m:t>y</m:t>
              </m:r>
            </m:sub>
          </m:sSub>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HR</m:t>
                      </m:r>
                    </m:e>
                    <m:sub>
                      <m:r>
                        <w:rPr>
                          <w:rFonts w:ascii="Cambria Math" w:hAnsi="Cambria Math"/>
                          <w:sz w:val="28"/>
                          <w:szCs w:val="28"/>
                        </w:rPr>
                        <m:t>x</m:t>
                      </m:r>
                    </m:sub>
                  </m:sSub>
                </m:e>
              </m:d>
            </m:e>
            <m:sup>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x</m:t>
                  </m:r>
                </m:den>
              </m:f>
            </m:sup>
          </m:sSup>
        </m:oMath>
      </m:oMathPara>
    </w:p>
    <w:p w:rsidR="003B4968" w:rsidRPr="00DC13BB" w:rsidRDefault="00664E79" w:rsidP="00664E79">
      <w:pPr>
        <w:rPr>
          <w:szCs w:val="24"/>
        </w:rPr>
      </w:pPr>
      <w:r>
        <w:rPr>
          <w:szCs w:val="24"/>
        </w:rPr>
        <w:t>T</w:t>
      </w:r>
      <w:r w:rsidRPr="00081903">
        <w:rPr>
          <w:szCs w:val="24"/>
        </w:rPr>
        <w:t>h</w:t>
      </w:r>
      <w:r>
        <w:rPr>
          <w:szCs w:val="24"/>
        </w:rPr>
        <w:t xml:space="preserve">is </w:t>
      </w:r>
      <w:r w:rsidRPr="00081903">
        <w:rPr>
          <w:szCs w:val="24"/>
        </w:rPr>
        <w:t xml:space="preserve">equation </w:t>
      </w:r>
      <w:r>
        <w:rPr>
          <w:szCs w:val="24"/>
        </w:rPr>
        <w:t xml:space="preserve">shows </w:t>
      </w:r>
      <w:r w:rsidRPr="00081903">
        <w:rPr>
          <w:szCs w:val="24"/>
        </w:rPr>
        <w:t xml:space="preserve">the </w:t>
      </w:r>
      <w:r>
        <w:rPr>
          <w:szCs w:val="24"/>
        </w:rPr>
        <w:t>HR for an increase in</w:t>
      </w:r>
      <w:r w:rsidR="00DC13BB">
        <w:rPr>
          <w:szCs w:val="24"/>
        </w:rPr>
        <w:t xml:space="preserve"> </w:t>
      </w:r>
      <m:oMath>
        <m:r>
          <w:rPr>
            <w:rFonts w:ascii="Cambria Math" w:hAnsi="Cambria Math"/>
            <w:szCs w:val="24"/>
          </w:rPr>
          <m:t>y</m:t>
        </m:r>
      </m:oMath>
      <w:r w:rsidR="00DC13BB">
        <w:rPr>
          <w:rFonts w:eastAsiaTheme="minorEastAsia"/>
          <w:szCs w:val="24"/>
        </w:rPr>
        <w:t xml:space="preserve"> </w:t>
      </w:r>
      <w:r>
        <w:rPr>
          <w:szCs w:val="24"/>
        </w:rPr>
        <w:t xml:space="preserve">units of the predictor </w:t>
      </w:r>
      <w:r w:rsidR="00DC13BB">
        <w:rPr>
          <w:szCs w:val="24"/>
        </w:rPr>
        <w:t xml:space="preserve">variable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HR</m:t>
                </m:r>
              </m:e>
              <m:sub>
                <m:r>
                  <w:rPr>
                    <w:rFonts w:ascii="Cambria Math" w:hAnsi="Cambria Math"/>
                    <w:szCs w:val="24"/>
                  </w:rPr>
                  <m:t>y</m:t>
                </m:r>
              </m:sub>
            </m:sSub>
          </m:e>
        </m:d>
      </m:oMath>
      <w:r w:rsidR="003B4968">
        <w:rPr>
          <w:rFonts w:eastAsiaTheme="minorEastAsia"/>
          <w:szCs w:val="24"/>
        </w:rPr>
        <w:t xml:space="preserve"> </w:t>
      </w:r>
      <w:r>
        <w:rPr>
          <w:szCs w:val="24"/>
        </w:rPr>
        <w:t xml:space="preserve">is equal to the HR for an increase in </w:t>
      </w:r>
      <m:oMath>
        <m:r>
          <w:rPr>
            <w:rFonts w:ascii="Cambria Math" w:hAnsi="Cambria Math"/>
            <w:szCs w:val="24"/>
          </w:rPr>
          <m:t>x</m:t>
        </m:r>
      </m:oMath>
      <w:r w:rsidRPr="00081903">
        <w:rPr>
          <w:szCs w:val="24"/>
        </w:rPr>
        <w:t xml:space="preserve"> </w:t>
      </w:r>
      <w:r>
        <w:rPr>
          <w:szCs w:val="24"/>
        </w:rPr>
        <w:t>units</w:t>
      </w:r>
      <w:r w:rsidR="00D66F28" w:rsidRPr="003B4968">
        <w:rPr>
          <w:sz w:val="32"/>
          <w:szCs w:val="32"/>
        </w:rPr>
        <w:t xml:space="preserve">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HR</m:t>
                </m:r>
              </m:e>
              <m:sub>
                <m:r>
                  <w:rPr>
                    <w:rFonts w:ascii="Cambria Math" w:hAnsi="Cambria Math"/>
                    <w:szCs w:val="24"/>
                  </w:rPr>
                  <m:t>x</m:t>
                </m:r>
              </m:sub>
            </m:sSub>
          </m:e>
        </m:d>
      </m:oMath>
      <w:r w:rsidR="003B4968">
        <w:rPr>
          <w:rFonts w:eastAsiaTheme="minorEastAsia"/>
          <w:sz w:val="32"/>
          <w:szCs w:val="32"/>
        </w:rPr>
        <w:t xml:space="preserve"> </w:t>
      </w:r>
      <w:r>
        <w:rPr>
          <w:szCs w:val="24"/>
        </w:rPr>
        <w:t>raised to the power of</w:t>
      </w:r>
      <w:r w:rsidR="0027590F">
        <w:rPr>
          <w:szCs w:val="24"/>
        </w:rPr>
        <w:t xml:space="preserve"> </w:t>
      </w:r>
      <w:r>
        <w:rPr>
          <w:szCs w:val="24"/>
        </w:rPr>
        <w:t xml:space="preserve"> </w:t>
      </w:r>
      <m:oMath>
        <m:f>
          <m:fPr>
            <m:ctrlPr>
              <w:rPr>
                <w:rFonts w:ascii="Cambria Math" w:hAnsi="Cambria Math"/>
                <w:i/>
                <w:szCs w:val="24"/>
              </w:rPr>
            </m:ctrlPr>
          </m:fPr>
          <m:num>
            <m:r>
              <w:rPr>
                <w:rFonts w:ascii="Cambria Math" w:hAnsi="Cambria Math"/>
                <w:szCs w:val="24"/>
              </w:rPr>
              <m:t>y</m:t>
            </m:r>
          </m:num>
          <m:den>
            <m:r>
              <w:rPr>
                <w:rFonts w:ascii="Cambria Math" w:hAnsi="Cambria Math"/>
                <w:szCs w:val="24"/>
              </w:rPr>
              <m:t>x</m:t>
            </m:r>
          </m:den>
        </m:f>
      </m:oMath>
      <w:r w:rsidRPr="00DC13BB">
        <w:rPr>
          <w:szCs w:val="24"/>
        </w:rPr>
        <w:t xml:space="preserve">. </w:t>
      </w:r>
    </w:p>
    <w:p w:rsidR="00664E79" w:rsidRPr="00081903" w:rsidRDefault="003B4968" w:rsidP="00664E79">
      <w:pPr>
        <w:rPr>
          <w:szCs w:val="24"/>
        </w:rPr>
      </w:pPr>
      <w:r>
        <w:rPr>
          <w:szCs w:val="24"/>
        </w:rPr>
        <w:t>Also,</w:t>
      </w:r>
    </w:p>
    <w:p w:rsidR="007D6359" w:rsidRPr="00DC13BB" w:rsidRDefault="002731A1" w:rsidP="000D08E4">
      <w:pPr>
        <w:jc w:val="left"/>
        <w:rPr>
          <w:rFonts w:eastAsiaTheme="minorEastAsia"/>
          <w:szCs w:val="24"/>
        </w:rPr>
      </w:pPr>
      <m:oMathPara>
        <m:oMath>
          <m:sSub>
            <m:sSubPr>
              <m:ctrlPr>
                <w:rPr>
                  <w:rFonts w:ascii="Cambria Math" w:hAnsi="Cambria Math"/>
                  <w:i/>
                  <w:szCs w:val="24"/>
                </w:rPr>
              </m:ctrlPr>
            </m:sSubPr>
            <m:e>
              <m:r>
                <w:rPr>
                  <w:rFonts w:ascii="Cambria Math" w:hAnsi="Cambria Math"/>
                  <w:szCs w:val="24"/>
                </w:rPr>
                <m:t>Lower limit of 95%CI</m:t>
              </m:r>
            </m:e>
            <m:sub>
              <m:r>
                <w:rPr>
                  <w:rFonts w:ascii="Cambria Math" w:hAnsi="Cambria Math"/>
                  <w:szCs w:val="24"/>
                </w:rPr>
                <m:t>y</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lowerCI</m:t>
              </m:r>
            </m:e>
            <m:sub>
              <m:r>
                <w:rPr>
                  <w:rFonts w:ascii="Cambria Math" w:hAnsi="Cambria Math"/>
                  <w:szCs w:val="24"/>
                </w:rPr>
                <m:t>y</m:t>
              </m:r>
            </m:sub>
          </m:sSub>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lowerCI</m:t>
                      </m:r>
                    </m:e>
                    <m:sub>
                      <m:r>
                        <w:rPr>
                          <w:rFonts w:ascii="Cambria Math" w:hAnsi="Cambria Math"/>
                          <w:szCs w:val="24"/>
                        </w:rPr>
                        <m:t>x</m:t>
                      </m:r>
                    </m:sub>
                  </m:sSub>
                </m:e>
              </m:d>
            </m:e>
            <m:sup>
              <m:f>
                <m:fPr>
                  <m:ctrlPr>
                    <w:rPr>
                      <w:rFonts w:ascii="Cambria Math" w:hAnsi="Cambria Math"/>
                      <w:i/>
                      <w:szCs w:val="24"/>
                    </w:rPr>
                  </m:ctrlPr>
                </m:fPr>
                <m:num>
                  <m:r>
                    <w:rPr>
                      <w:rFonts w:ascii="Cambria Math" w:hAnsi="Cambria Math"/>
                      <w:szCs w:val="24"/>
                    </w:rPr>
                    <m:t>y</m:t>
                  </m:r>
                </m:num>
                <m:den>
                  <m:r>
                    <w:rPr>
                      <w:rFonts w:ascii="Cambria Math" w:hAnsi="Cambria Math"/>
                      <w:szCs w:val="24"/>
                    </w:rPr>
                    <m:t>x</m:t>
                  </m:r>
                </m:den>
              </m:f>
            </m:sup>
          </m:sSup>
        </m:oMath>
      </m:oMathPara>
    </w:p>
    <w:p w:rsidR="00BA36A7" w:rsidRPr="00BA36A7" w:rsidRDefault="00414909" w:rsidP="00BA36A7">
      <w:pPr>
        <w:jc w:val="left"/>
        <w:rPr>
          <w:rFonts w:eastAsiaTheme="minorEastAsia"/>
          <w:sz w:val="28"/>
          <w:szCs w:val="28"/>
        </w:rPr>
      </w:pPr>
      <m:oMathPara>
        <m:oMath>
          <m:r>
            <w:rPr>
              <w:rFonts w:ascii="Cambria Math" w:hAnsi="Cambria Math"/>
              <w:szCs w:val="24"/>
            </w:rPr>
            <w:lastRenderedPageBreak/>
            <m:t xml:space="preserve"> </m:t>
          </m:r>
          <m:sSub>
            <m:sSubPr>
              <m:ctrlPr>
                <w:rPr>
                  <w:rFonts w:ascii="Cambria Math" w:hAnsi="Cambria Math"/>
                  <w:i/>
                  <w:szCs w:val="24"/>
                </w:rPr>
              </m:ctrlPr>
            </m:sSubPr>
            <m:e>
              <m:r>
                <w:rPr>
                  <w:rFonts w:ascii="Cambria Math" w:hAnsi="Cambria Math"/>
                  <w:szCs w:val="24"/>
                </w:rPr>
                <m:t>Upper limit of 95% CI</m:t>
              </m:r>
            </m:e>
            <m:sub>
              <m:r>
                <w:rPr>
                  <w:rFonts w:ascii="Cambria Math" w:hAnsi="Cambria Math"/>
                  <w:szCs w:val="24"/>
                </w:rPr>
                <m:t>y</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upperCI</m:t>
              </m:r>
            </m:e>
            <m:sub>
              <m:r>
                <w:rPr>
                  <w:rFonts w:ascii="Cambria Math" w:hAnsi="Cambria Math"/>
                  <w:szCs w:val="24"/>
                </w:rPr>
                <m:t>y</m:t>
              </m:r>
            </m:sub>
          </m:sSub>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upperCI</m:t>
                      </m:r>
                    </m:e>
                    <m:sub>
                      <m:r>
                        <w:rPr>
                          <w:rFonts w:ascii="Cambria Math" w:hAnsi="Cambria Math"/>
                          <w:szCs w:val="24"/>
                        </w:rPr>
                        <m:t>x</m:t>
                      </m:r>
                    </m:sub>
                  </m:sSub>
                </m:e>
              </m:d>
            </m:e>
            <m:sup>
              <m:f>
                <m:fPr>
                  <m:ctrlPr>
                    <w:rPr>
                      <w:rFonts w:ascii="Cambria Math" w:hAnsi="Cambria Math"/>
                      <w:i/>
                      <w:szCs w:val="24"/>
                    </w:rPr>
                  </m:ctrlPr>
                </m:fPr>
                <m:num>
                  <m:r>
                    <w:rPr>
                      <w:rFonts w:ascii="Cambria Math" w:hAnsi="Cambria Math"/>
                      <w:szCs w:val="24"/>
                    </w:rPr>
                    <m:t>y</m:t>
                  </m:r>
                </m:num>
                <m:den>
                  <m:r>
                    <w:rPr>
                      <w:rFonts w:ascii="Cambria Math" w:hAnsi="Cambria Math"/>
                      <w:szCs w:val="24"/>
                    </w:rPr>
                    <m:t>x</m:t>
                  </m:r>
                </m:den>
              </m:f>
            </m:sup>
          </m:sSup>
        </m:oMath>
      </m:oMathPara>
    </w:p>
    <w:p w:rsidR="001A2BE8" w:rsidRDefault="001A2BE8" w:rsidP="000D08E4">
      <w:pPr>
        <w:rPr>
          <w:sz w:val="28"/>
          <w:szCs w:val="28"/>
        </w:rPr>
      </w:pPr>
    </w:p>
    <w:p w:rsidR="001A2BE8" w:rsidRDefault="00081903" w:rsidP="000D08E4">
      <w:r>
        <w:t xml:space="preserve">Let me show you </w:t>
      </w:r>
      <w:r w:rsidR="002A0714">
        <w:t xml:space="preserve">a couple of </w:t>
      </w:r>
      <w:r>
        <w:t>example</w:t>
      </w:r>
      <w:r w:rsidR="002A0714">
        <w:t>s</w:t>
      </w:r>
      <w:r>
        <w:t xml:space="preserve"> from a </w:t>
      </w:r>
      <w:hyperlink r:id="rId10" w:history="1">
        <w:r w:rsidRPr="00D60E19">
          <w:rPr>
            <w:rStyle w:val="Hyperlink"/>
          </w:rPr>
          <w:t>review</w:t>
        </w:r>
      </w:hyperlink>
      <w:r>
        <w:t xml:space="preserve"> that I worked </w:t>
      </w:r>
      <w:r w:rsidR="00D60E19">
        <w:t>on</w:t>
      </w:r>
      <w:r>
        <w:t>.</w:t>
      </w:r>
      <w:r w:rsidR="002A0714">
        <w:t xml:space="preserve"> One </w:t>
      </w:r>
      <w:hyperlink r:id="rId11" w:history="1">
        <w:r w:rsidR="00FE1672" w:rsidRPr="00D60E19">
          <w:rPr>
            <w:rStyle w:val="Hyperlink"/>
          </w:rPr>
          <w:t>study</w:t>
        </w:r>
      </w:hyperlink>
      <w:r w:rsidR="002A0714">
        <w:t xml:space="preserve"> reported a </w:t>
      </w:r>
      <w:r w:rsidR="002E4DD4">
        <w:t>17</w:t>
      </w:r>
      <w:r w:rsidR="00D271E7">
        <w:t xml:space="preserve">% </w:t>
      </w:r>
      <w:r w:rsidR="002E4DD4">
        <w:t>increased</w:t>
      </w:r>
      <w:r w:rsidR="00D271E7">
        <w:t xml:space="preserve"> risk </w:t>
      </w:r>
      <w:r w:rsidR="002E4DD4">
        <w:t>of</w:t>
      </w:r>
      <w:r w:rsidR="00D271E7">
        <w:t xml:space="preserve"> cardiovascular mortality </w:t>
      </w:r>
      <w:r w:rsidR="00BC53D2">
        <w:t xml:space="preserve">associated with a 5mmHg increase in 24-hour systolic blood pressure variability </w:t>
      </w:r>
      <w:r w:rsidR="00D271E7">
        <w:t>(</w:t>
      </w:r>
      <w:r w:rsidR="002A0714">
        <w:t xml:space="preserve">HR </w:t>
      </w:r>
      <w:r w:rsidR="00D271E7">
        <w:t xml:space="preserve">1.17, 95% CI </w:t>
      </w:r>
      <w:r w:rsidR="00EF139C">
        <w:t>0.</w:t>
      </w:r>
      <w:r w:rsidR="00D271E7">
        <w:t>64</w:t>
      </w:r>
      <w:r w:rsidR="00EF139C">
        <w:t xml:space="preserve"> to </w:t>
      </w:r>
      <w:r w:rsidR="00D271E7">
        <w:t>2.13</w:t>
      </w:r>
      <w:r w:rsidR="00EF139C">
        <w:t xml:space="preserve">) </w:t>
      </w:r>
      <w:r w:rsidR="00D271E7">
        <w:t xml:space="preserve">and another </w:t>
      </w:r>
      <w:hyperlink r:id="rId12" w:history="1">
        <w:r w:rsidR="00D271E7" w:rsidRPr="00D60E19">
          <w:rPr>
            <w:rStyle w:val="Hyperlink"/>
          </w:rPr>
          <w:t>study</w:t>
        </w:r>
      </w:hyperlink>
      <w:r w:rsidR="00D271E7">
        <w:t xml:space="preserve"> reported a 3% increase in risk (HR 1.03, 0.93 to 1.13) </w:t>
      </w:r>
      <w:r w:rsidR="002E4DD4">
        <w:t xml:space="preserve">per </w:t>
      </w:r>
      <w:r w:rsidR="0027590F">
        <w:t>SD</w:t>
      </w:r>
      <w:r w:rsidR="002E4DD4">
        <w:t xml:space="preserve"> of the same predictor variable</w:t>
      </w:r>
      <w:r w:rsidR="0027590F">
        <w:t xml:space="preserve"> (</w:t>
      </w:r>
      <w:r w:rsidR="00D60E19">
        <w:t>15.6mmHg</w:t>
      </w:r>
      <w:r w:rsidR="0027590F">
        <w:t>)</w:t>
      </w:r>
      <w:r w:rsidR="00E15590">
        <w:t>.</w:t>
      </w:r>
      <w:r w:rsidR="00D271E7">
        <w:t xml:space="preserve"> </w:t>
      </w:r>
      <w:r w:rsidR="00D60E19">
        <w:t>I will rescale the second HR to a HR for a 5mmHg increase in blood pressure variability.</w:t>
      </w:r>
    </w:p>
    <w:p w:rsidR="00BC53D2" w:rsidRDefault="00BC53D2" w:rsidP="000D08E4"/>
    <w:p w:rsidR="00CA1498" w:rsidRDefault="004C04E1" w:rsidP="000D08E4">
      <w:r>
        <w:t xml:space="preserve">Taking </w:t>
      </w:r>
      <w:r w:rsidR="00CA1498">
        <w:t>x=15.6</w:t>
      </w:r>
      <w:r>
        <w:t xml:space="preserve"> and </w:t>
      </w:r>
      <w:r w:rsidR="00CA1498">
        <w:t>y=5</w:t>
      </w:r>
    </w:p>
    <w:p w:rsidR="008611B6" w:rsidRPr="00BC53D2" w:rsidRDefault="002731A1" w:rsidP="008611B6">
      <w:pPr>
        <w:jc w:val="cente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HR</m:t>
              </m:r>
            </m:e>
            <m:sub>
              <m:r>
                <w:rPr>
                  <w:rFonts w:ascii="Cambria Math" w:hAnsi="Cambria Math"/>
                  <w:sz w:val="28"/>
                  <w:szCs w:val="28"/>
                </w:rPr>
                <m:t>5</m:t>
              </m:r>
            </m:sub>
          </m:sSub>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HR</m:t>
                      </m:r>
                    </m:e>
                    <m:sub>
                      <m:r>
                        <w:rPr>
                          <w:rFonts w:ascii="Cambria Math" w:hAnsi="Cambria Math"/>
                          <w:sz w:val="28"/>
                          <w:szCs w:val="28"/>
                        </w:rPr>
                        <m:t>15.6</m:t>
                      </m:r>
                    </m:sub>
                  </m:sSub>
                </m:e>
              </m:d>
            </m:e>
            <m:sup>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15.6</m:t>
                  </m:r>
                </m:den>
              </m:f>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1.03</m:t>
                  </m:r>
                </m:e>
              </m:d>
            </m:e>
            <m:sup>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15.6</m:t>
                  </m:r>
                </m:den>
              </m:f>
            </m:sup>
          </m:sSup>
          <m:r>
            <w:rPr>
              <w:rFonts w:ascii="Cambria Math" w:hAnsi="Cambria Math"/>
              <w:sz w:val="28"/>
              <w:szCs w:val="28"/>
            </w:rPr>
            <m:t>=1.01</m:t>
          </m:r>
        </m:oMath>
      </m:oMathPara>
    </w:p>
    <w:p w:rsidR="008611B6" w:rsidRPr="00BC53D2" w:rsidRDefault="002731A1" w:rsidP="008611B6">
      <w:pPr>
        <w:jc w:val="left"/>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Lower limit of 95% CI</m:t>
              </m:r>
            </m:e>
            <m:sub>
              <m:r>
                <w:rPr>
                  <w:rFonts w:ascii="Cambria Math" w:hAnsi="Cambria Math"/>
                  <w:sz w:val="28"/>
                  <w:szCs w:val="28"/>
                </w:rPr>
                <m:t>5</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lowerCI</m:t>
              </m:r>
            </m:e>
            <m:sub>
              <m:r>
                <w:rPr>
                  <w:rFonts w:ascii="Cambria Math" w:hAnsi="Cambria Math"/>
                  <w:sz w:val="28"/>
                  <w:szCs w:val="28"/>
                </w:rPr>
                <m:t>5</m:t>
              </m:r>
            </m:sub>
          </m:sSub>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lowerCI</m:t>
                      </m:r>
                    </m:e>
                    <m:sub>
                      <m:r>
                        <w:rPr>
                          <w:rFonts w:ascii="Cambria Math" w:hAnsi="Cambria Math"/>
                          <w:sz w:val="28"/>
                          <w:szCs w:val="28"/>
                        </w:rPr>
                        <m:t>15.6</m:t>
                      </m:r>
                    </m:sub>
                  </m:sSub>
                </m:e>
              </m:d>
            </m:e>
            <m:sup>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15.6</m:t>
                  </m:r>
                </m:den>
              </m:f>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0.93</m:t>
                  </m:r>
                </m:e>
              </m:d>
            </m:e>
            <m:sup>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15.6</m:t>
                  </m:r>
                </m:den>
              </m:f>
            </m:sup>
          </m:sSup>
          <m:r>
            <w:rPr>
              <w:rFonts w:ascii="Cambria Math" w:hAnsi="Cambria Math"/>
              <w:sz w:val="28"/>
              <w:szCs w:val="28"/>
            </w:rPr>
            <m:t>=0.98</m:t>
          </m:r>
        </m:oMath>
      </m:oMathPara>
    </w:p>
    <w:p w:rsidR="008611B6" w:rsidRPr="00BA36A7" w:rsidRDefault="002731A1" w:rsidP="008611B6">
      <w:pPr>
        <w:jc w:val="left"/>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Upper limit of 95% CI</m:t>
              </m:r>
            </m:e>
            <m:sub>
              <m:r>
                <w:rPr>
                  <w:rFonts w:ascii="Cambria Math" w:hAnsi="Cambria Math"/>
                  <w:sz w:val="28"/>
                  <w:szCs w:val="28"/>
                </w:rPr>
                <m:t>5</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upperCI</m:t>
              </m:r>
            </m:e>
            <m:sub>
              <m:r>
                <w:rPr>
                  <w:rFonts w:ascii="Cambria Math" w:hAnsi="Cambria Math"/>
                  <w:sz w:val="28"/>
                  <w:szCs w:val="28"/>
                </w:rPr>
                <m:t>5</m:t>
              </m:r>
            </m:sub>
          </m:sSub>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upperCI</m:t>
                      </m:r>
                    </m:e>
                    <m:sub>
                      <m:r>
                        <w:rPr>
                          <w:rFonts w:ascii="Cambria Math" w:hAnsi="Cambria Math"/>
                          <w:sz w:val="28"/>
                          <w:szCs w:val="28"/>
                        </w:rPr>
                        <m:t>15.6</m:t>
                      </m:r>
                    </m:sub>
                  </m:sSub>
                </m:e>
              </m:d>
            </m:e>
            <m:sup>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15.6</m:t>
                  </m:r>
                </m:den>
              </m:f>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1.13</m:t>
                  </m:r>
                </m:e>
              </m:d>
            </m:e>
            <m:sup>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15.6</m:t>
                  </m:r>
                </m:den>
              </m:f>
            </m:sup>
          </m:sSup>
          <m:r>
            <w:rPr>
              <w:rFonts w:ascii="Cambria Math" w:hAnsi="Cambria Math"/>
              <w:sz w:val="28"/>
              <w:szCs w:val="28"/>
            </w:rPr>
            <m:t>=1.04</m:t>
          </m:r>
        </m:oMath>
      </m:oMathPara>
    </w:p>
    <w:p w:rsidR="008611B6" w:rsidRDefault="008611B6" w:rsidP="000D08E4"/>
    <w:p w:rsidR="000D08E4" w:rsidRDefault="00BC53D2" w:rsidP="00C94A37">
      <w:r>
        <w:t xml:space="preserve">i.e. </w:t>
      </w:r>
      <w:r w:rsidR="004C04E1">
        <w:t xml:space="preserve">HR 1.03 (0.93 to 1.13) for a 15.6mmHg increase rescales to </w:t>
      </w:r>
      <w:r>
        <w:t>1.01 (0.9</w:t>
      </w:r>
      <w:r w:rsidR="00BE728D">
        <w:t>8</w:t>
      </w:r>
      <w:r>
        <w:t xml:space="preserve"> to 1.0)</w:t>
      </w:r>
      <w:r w:rsidR="004C04E1">
        <w:t xml:space="preserve"> for a 5mmHg increase in systolic blood pressure variability</w:t>
      </w:r>
      <w:r>
        <w:t>.</w:t>
      </w:r>
    </w:p>
    <w:p w:rsidR="000D08E4" w:rsidRDefault="00087C92" w:rsidP="00C94A37">
      <w:r>
        <w:rPr>
          <w:rFonts w:ascii="Times New Roman" w:hAnsi="Times New Roman" w:cs="Times New Roman"/>
          <w:noProof/>
          <w:szCs w:val="24"/>
          <w:lang w:eastAsia="zh-CN"/>
        </w:rPr>
        <mc:AlternateContent>
          <mc:Choice Requires="wps">
            <w:drawing>
              <wp:anchor distT="0" distB="0" distL="114300" distR="114300" simplePos="0" relativeHeight="251660288" behindDoc="0" locked="0" layoutInCell="1" allowOverlap="1">
                <wp:simplePos x="0" y="0"/>
                <wp:positionH relativeFrom="margin">
                  <wp:posOffset>1419648</wp:posOffset>
                </wp:positionH>
                <wp:positionV relativeFrom="paragraph">
                  <wp:posOffset>224155</wp:posOffset>
                </wp:positionV>
                <wp:extent cx="3139440" cy="2057400"/>
                <wp:effectExtent l="0" t="0" r="22860" b="19050"/>
                <wp:wrapNone/>
                <wp:docPr id="3" name="Vertical Scroll 3"/>
                <wp:cNvGraphicFramePr/>
                <a:graphic xmlns:a="http://schemas.openxmlformats.org/drawingml/2006/main">
                  <a:graphicData uri="http://schemas.microsoft.com/office/word/2010/wordprocessingShape">
                    <wps:wsp>
                      <wps:cNvSpPr/>
                      <wps:spPr>
                        <a:xfrm>
                          <a:off x="0" y="0"/>
                          <a:ext cx="3139440" cy="2057400"/>
                        </a:xfrm>
                        <a:prstGeom prst="verticalScroll">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97673" w:rsidRDefault="00E97673" w:rsidP="00E97673">
                            <w:pPr>
                              <w:jc w:val="center"/>
                              <w:rPr>
                                <w:i/>
                                <w:color w:val="000000" w:themeColor="text1"/>
                              </w:rPr>
                            </w:pPr>
                            <w:r>
                              <w:rPr>
                                <w:i/>
                                <w:color w:val="000000" w:themeColor="text1"/>
                              </w:rPr>
                              <w:t xml:space="preserve">Here’s a tip…. </w:t>
                            </w:r>
                          </w:p>
                          <w:p w:rsidR="00E97673" w:rsidRDefault="00E97673" w:rsidP="00E97673">
                            <w:pPr>
                              <w:jc w:val="center"/>
                              <w:rPr>
                                <w:color w:val="000000" w:themeColor="text1"/>
                              </w:rPr>
                            </w:pPr>
                          </w:p>
                          <w:p w:rsidR="0027590F" w:rsidRDefault="005F0D8F" w:rsidP="00314F39">
                            <w:pPr>
                              <w:jc w:val="center"/>
                              <w:rPr>
                                <w:color w:val="000000" w:themeColor="text1"/>
                              </w:rPr>
                            </w:pPr>
                            <w:r>
                              <w:rPr>
                                <w:color w:val="000000" w:themeColor="text1"/>
                              </w:rPr>
                              <w:t>H</w:t>
                            </w:r>
                            <w:r w:rsidR="00E97673">
                              <w:rPr>
                                <w:color w:val="000000" w:themeColor="text1"/>
                              </w:rPr>
                              <w:t>azard ratios</w:t>
                            </w:r>
                            <w:r w:rsidR="00C45812">
                              <w:rPr>
                                <w:color w:val="000000" w:themeColor="text1"/>
                              </w:rPr>
                              <w:t>,</w:t>
                            </w:r>
                            <w:r w:rsidR="00E97673">
                              <w:rPr>
                                <w:color w:val="000000" w:themeColor="text1"/>
                              </w:rPr>
                              <w:t xml:space="preserve"> relative risks</w:t>
                            </w:r>
                            <w:r w:rsidR="00E4590A">
                              <w:rPr>
                                <w:color w:val="000000" w:themeColor="text1"/>
                              </w:rPr>
                              <w:t xml:space="preserve"> and odds ratios</w:t>
                            </w:r>
                            <w:r w:rsidR="00E97673">
                              <w:rPr>
                                <w:color w:val="000000" w:themeColor="text1"/>
                              </w:rPr>
                              <w:t xml:space="preserve"> </w:t>
                            </w:r>
                            <w:r w:rsidR="00F569FA">
                              <w:rPr>
                                <w:color w:val="000000" w:themeColor="text1"/>
                              </w:rPr>
                              <w:t xml:space="preserve">for </w:t>
                            </w:r>
                            <w:r>
                              <w:rPr>
                                <w:color w:val="000000" w:themeColor="text1"/>
                              </w:rPr>
                              <w:t xml:space="preserve">different </w:t>
                            </w:r>
                            <w:r w:rsidR="0027590F">
                              <w:rPr>
                                <w:color w:val="000000" w:themeColor="text1"/>
                              </w:rPr>
                              <w:t xml:space="preserve">changes </w:t>
                            </w:r>
                            <w:r w:rsidR="00314F39">
                              <w:rPr>
                                <w:color w:val="000000" w:themeColor="text1"/>
                              </w:rPr>
                              <w:t xml:space="preserve">in </w:t>
                            </w:r>
                            <w:r w:rsidR="0027590F">
                              <w:rPr>
                                <w:color w:val="000000" w:themeColor="text1"/>
                              </w:rPr>
                              <w:t xml:space="preserve">a </w:t>
                            </w:r>
                            <w:r w:rsidR="00314F39">
                              <w:rPr>
                                <w:color w:val="000000" w:themeColor="text1"/>
                              </w:rPr>
                              <w:t xml:space="preserve">predictor variable </w:t>
                            </w:r>
                            <w:r>
                              <w:rPr>
                                <w:color w:val="000000" w:themeColor="text1"/>
                              </w:rPr>
                              <w:t>can be rescaled</w:t>
                            </w:r>
                            <w:r w:rsidR="00314F39">
                              <w:rPr>
                                <w:color w:val="000000" w:themeColor="text1"/>
                              </w:rPr>
                              <w:t xml:space="preserve"> </w:t>
                            </w:r>
                            <w:r w:rsidR="0027590F">
                              <w:rPr>
                                <w:color w:val="000000" w:themeColor="text1"/>
                              </w:rPr>
                              <w:t xml:space="preserve">to a </w:t>
                            </w:r>
                          </w:p>
                          <w:p w:rsidR="00E97673" w:rsidRDefault="0027590F" w:rsidP="00087C92">
                            <w:pPr>
                              <w:jc w:val="center"/>
                              <w:rPr>
                                <w:color w:val="000000" w:themeColor="text1"/>
                              </w:rPr>
                            </w:pPr>
                            <w:r>
                              <w:rPr>
                                <w:color w:val="000000" w:themeColor="text1"/>
                              </w:rPr>
                              <w:t>common change</w:t>
                            </w:r>
                          </w:p>
                          <w:p w:rsidR="00314F39" w:rsidRDefault="00314F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left:0;text-align:left;margin-left:111.8pt;margin-top:17.65pt;width:247.2pt;height:1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" fillcolor="#f7caac [1301]" strokecolor="#1f4d78 [1604]" strokeweight="1pt">
                <v:stroke joinstyle="miter"/>
                <v:textbox>
                  <w:txbxContent>
                    <w:p w:rsidR="00E97673" w:rsidRDefault="00E97673" w:rsidP="00E97673">
                      <w:pPr>
                        <w:jc w:val="center"/>
                        <w:rPr>
                          <w:i/>
                          <w:color w:val="000000" w:themeColor="text1"/>
                        </w:rPr>
                      </w:pPr>
                      <w:r>
                        <w:rPr>
                          <w:i/>
                          <w:color w:val="000000" w:themeColor="text1"/>
                        </w:rPr>
                        <w:t xml:space="preserve">Here’s a tip…. </w:t>
                      </w:r>
                    </w:p>
                    <w:p w:rsidR="00E97673" w:rsidRDefault="00E97673" w:rsidP="00E97673">
                      <w:pPr>
                        <w:jc w:val="center"/>
                        <w:rPr>
                          <w:color w:val="000000" w:themeColor="text1"/>
                        </w:rPr>
                      </w:pPr>
                    </w:p>
                    <w:p w:rsidR="0027590F" w:rsidRDefault="005F0D8F" w:rsidP="00314F39">
                      <w:pPr>
                        <w:jc w:val="center"/>
                        <w:rPr>
                          <w:color w:val="000000" w:themeColor="text1"/>
                        </w:rPr>
                      </w:pPr>
                      <w:r>
                        <w:rPr>
                          <w:color w:val="000000" w:themeColor="text1"/>
                        </w:rPr>
                        <w:t>H</w:t>
                      </w:r>
                      <w:r w:rsidR="00E97673">
                        <w:rPr>
                          <w:color w:val="000000" w:themeColor="text1"/>
                        </w:rPr>
                        <w:t>azard ratios</w:t>
                      </w:r>
                      <w:r w:rsidR="00C45812">
                        <w:rPr>
                          <w:color w:val="000000" w:themeColor="text1"/>
                        </w:rPr>
                        <w:t>,</w:t>
                      </w:r>
                      <w:r w:rsidR="00E97673">
                        <w:rPr>
                          <w:color w:val="000000" w:themeColor="text1"/>
                        </w:rPr>
                        <w:t xml:space="preserve"> relative risks</w:t>
                      </w:r>
                      <w:r w:rsidR="00E4590A">
                        <w:rPr>
                          <w:color w:val="000000" w:themeColor="text1"/>
                        </w:rPr>
                        <w:t xml:space="preserve"> and odds ratios</w:t>
                      </w:r>
                      <w:r w:rsidR="00E97673">
                        <w:rPr>
                          <w:color w:val="000000" w:themeColor="text1"/>
                        </w:rPr>
                        <w:t xml:space="preserve"> </w:t>
                      </w:r>
                      <w:r w:rsidR="00F569FA">
                        <w:rPr>
                          <w:color w:val="000000" w:themeColor="text1"/>
                        </w:rPr>
                        <w:t xml:space="preserve">for </w:t>
                      </w:r>
                      <w:r>
                        <w:rPr>
                          <w:color w:val="000000" w:themeColor="text1"/>
                        </w:rPr>
                        <w:t xml:space="preserve">different </w:t>
                      </w:r>
                      <w:r w:rsidR="0027590F">
                        <w:rPr>
                          <w:color w:val="000000" w:themeColor="text1"/>
                        </w:rPr>
                        <w:t xml:space="preserve">changes </w:t>
                      </w:r>
                      <w:r w:rsidR="00314F39">
                        <w:rPr>
                          <w:color w:val="000000" w:themeColor="text1"/>
                        </w:rPr>
                        <w:t xml:space="preserve">in </w:t>
                      </w:r>
                      <w:r w:rsidR="0027590F">
                        <w:rPr>
                          <w:color w:val="000000" w:themeColor="text1"/>
                        </w:rPr>
                        <w:t xml:space="preserve">a </w:t>
                      </w:r>
                      <w:r w:rsidR="00314F39">
                        <w:rPr>
                          <w:color w:val="000000" w:themeColor="text1"/>
                        </w:rPr>
                        <w:t xml:space="preserve">predictor variable </w:t>
                      </w:r>
                      <w:r>
                        <w:rPr>
                          <w:color w:val="000000" w:themeColor="text1"/>
                        </w:rPr>
                        <w:t>can be rescaled</w:t>
                      </w:r>
                      <w:r w:rsidR="00314F39">
                        <w:rPr>
                          <w:color w:val="000000" w:themeColor="text1"/>
                        </w:rPr>
                        <w:t xml:space="preserve"> </w:t>
                      </w:r>
                      <w:r w:rsidR="0027590F">
                        <w:rPr>
                          <w:color w:val="000000" w:themeColor="text1"/>
                        </w:rPr>
                        <w:t xml:space="preserve">to a </w:t>
                      </w:r>
                    </w:p>
                    <w:p w:rsidR="00E97673" w:rsidRDefault="0027590F" w:rsidP="00087C92">
                      <w:pPr>
                        <w:jc w:val="center"/>
                        <w:rPr>
                          <w:color w:val="000000" w:themeColor="text1"/>
                        </w:rPr>
                      </w:pPr>
                      <w:r>
                        <w:rPr>
                          <w:color w:val="000000" w:themeColor="text1"/>
                        </w:rPr>
                        <w:t>common change</w:t>
                      </w:r>
                    </w:p>
                    <w:p w:rsidR="00314F39" w:rsidRDefault="00314F39"/>
                  </w:txbxContent>
                </v:textbox>
                <w10:wrap anchorx="margin"/>
              </v:shape>
            </w:pict>
          </mc:Fallback>
        </mc:AlternateContent>
      </w:r>
    </w:p>
    <w:p w:rsidR="00701C19" w:rsidRDefault="00701C19" w:rsidP="00C94A37"/>
    <w:p w:rsidR="00701C19" w:rsidRDefault="00701C19" w:rsidP="00C94A37"/>
    <w:p w:rsidR="00882410" w:rsidRDefault="00882410" w:rsidP="00C94A37"/>
    <w:p w:rsidR="00E97673" w:rsidRDefault="00E97673" w:rsidP="00C94A37"/>
    <w:p w:rsidR="00E97673" w:rsidRDefault="00E97673" w:rsidP="00C94A37"/>
    <w:p w:rsidR="00E97673" w:rsidRDefault="00E97673" w:rsidP="00C94A37"/>
    <w:p w:rsidR="00E97673" w:rsidRDefault="00E97673" w:rsidP="00C94A37"/>
    <w:p w:rsidR="00E97673" w:rsidRDefault="00E97673" w:rsidP="00C94A37"/>
    <w:p w:rsidR="00E97673" w:rsidRDefault="00E97673" w:rsidP="00C94A37"/>
    <w:p w:rsidR="00E97673" w:rsidRDefault="00E97673" w:rsidP="00C94A37"/>
    <w:p w:rsidR="00E97673" w:rsidRDefault="00F523A2" w:rsidP="00C94A37">
      <w:r>
        <w:t>In my next post I</w:t>
      </w:r>
      <w:r w:rsidR="00E92A56">
        <w:t>’l</w:t>
      </w:r>
      <w:r>
        <w:t>l look at beta coefficients.</w:t>
      </w:r>
    </w:p>
    <w:p w:rsidR="00D60E19" w:rsidRDefault="00D60E19">
      <w:pPr>
        <w:spacing w:after="160" w:line="259" w:lineRule="auto"/>
        <w:jc w:val="left"/>
        <w:rPr>
          <w:rFonts w:asciiTheme="majorHAnsi" w:eastAsiaTheme="majorEastAsia" w:hAnsiTheme="majorHAnsi" w:cstheme="majorBidi"/>
          <w:i/>
          <w:sz w:val="26"/>
          <w:szCs w:val="26"/>
        </w:rPr>
      </w:pPr>
      <w:r>
        <w:rPr>
          <w:rFonts w:asciiTheme="majorHAnsi" w:eastAsiaTheme="majorEastAsia" w:hAnsiTheme="majorHAnsi" w:cstheme="majorBidi"/>
          <w:i/>
          <w:sz w:val="26"/>
          <w:szCs w:val="26"/>
        </w:rPr>
        <w:br w:type="page"/>
      </w:r>
    </w:p>
    <w:p w:rsidR="00144D03" w:rsidRPr="00144D03" w:rsidRDefault="007964D5" w:rsidP="00144D03">
      <w:pPr>
        <w:ind w:left="360"/>
        <w:rPr>
          <w:rFonts w:asciiTheme="majorHAnsi" w:eastAsiaTheme="majorEastAsia" w:hAnsiTheme="majorHAnsi" w:cstheme="majorBidi"/>
          <w:i/>
          <w:sz w:val="26"/>
          <w:szCs w:val="26"/>
        </w:rPr>
      </w:pPr>
      <w:r>
        <w:rPr>
          <w:rFonts w:asciiTheme="majorHAnsi" w:eastAsiaTheme="majorEastAsia" w:hAnsiTheme="majorHAnsi" w:cstheme="majorBidi"/>
          <w:i/>
          <w:noProof/>
          <w:sz w:val="26"/>
          <w:szCs w:val="26"/>
          <w:lang w:eastAsia="zh-CN"/>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72178</wp:posOffset>
                </wp:positionV>
                <wp:extent cx="6534150" cy="6595533"/>
                <wp:effectExtent l="0" t="0" r="19050" b="15240"/>
                <wp:wrapNone/>
                <wp:docPr id="18" name="Rectangle 18"/>
                <wp:cNvGraphicFramePr/>
                <a:graphic xmlns:a="http://schemas.openxmlformats.org/drawingml/2006/main">
                  <a:graphicData uri="http://schemas.microsoft.com/office/word/2010/wordprocessingShape">
                    <wps:wsp>
                      <wps:cNvSpPr/>
                      <wps:spPr>
                        <a:xfrm>
                          <a:off x="0" y="0"/>
                          <a:ext cx="6534150" cy="65955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641D9" id="Rectangle 18" o:spid="_x0000_s1026" style="position:absolute;margin-left:0;margin-top:5.7pt;width:514.5pt;height:519.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" filled="f" strokecolor="#1f4d78 [1604]" strokeweight="1pt">
                <w10:wrap anchorx="margin"/>
              </v:rect>
            </w:pict>
          </mc:Fallback>
        </mc:AlternateContent>
      </w:r>
    </w:p>
    <w:p w:rsidR="00F364DA" w:rsidRPr="00144D03" w:rsidRDefault="00F364DA" w:rsidP="00A33749">
      <w:pPr>
        <w:jc w:val="left"/>
        <w:rPr>
          <w:rFonts w:asciiTheme="majorHAnsi" w:eastAsiaTheme="majorEastAsia" w:hAnsiTheme="majorHAnsi" w:cstheme="majorBidi"/>
          <w:i/>
          <w:sz w:val="26"/>
          <w:szCs w:val="26"/>
        </w:rPr>
      </w:pPr>
      <w:r w:rsidRPr="00144D03">
        <w:rPr>
          <w:rFonts w:asciiTheme="majorHAnsi" w:eastAsiaTheme="majorEastAsia" w:hAnsiTheme="majorHAnsi" w:cstheme="majorBidi"/>
          <w:i/>
          <w:sz w:val="26"/>
          <w:szCs w:val="26"/>
        </w:rPr>
        <w:t>Where d</w:t>
      </w:r>
      <w:r w:rsidR="00062810" w:rsidRPr="00144D03">
        <w:rPr>
          <w:rFonts w:asciiTheme="majorHAnsi" w:eastAsiaTheme="majorEastAsia" w:hAnsiTheme="majorHAnsi" w:cstheme="majorBidi"/>
          <w:i/>
          <w:sz w:val="26"/>
          <w:szCs w:val="26"/>
        </w:rPr>
        <w:t>id</w:t>
      </w:r>
      <w:r w:rsidRPr="00144D03">
        <w:rPr>
          <w:rFonts w:asciiTheme="majorHAnsi" w:eastAsiaTheme="majorEastAsia" w:hAnsiTheme="majorHAnsi" w:cstheme="majorBidi"/>
          <w:i/>
          <w:sz w:val="26"/>
          <w:szCs w:val="26"/>
        </w:rPr>
        <w:t xml:space="preserve"> the equation</w:t>
      </w:r>
      <w:r w:rsidR="00062810" w:rsidRPr="00144D03">
        <w:rPr>
          <w:rFonts w:asciiTheme="majorHAnsi" w:eastAsiaTheme="majorEastAsia" w:hAnsiTheme="majorHAnsi" w:cstheme="majorBidi"/>
          <w:i/>
          <w:sz w:val="26"/>
          <w:szCs w:val="26"/>
        </w:rPr>
        <w:t>s</w:t>
      </w:r>
      <w:r w:rsidRPr="00144D03">
        <w:rPr>
          <w:rFonts w:asciiTheme="majorHAnsi" w:eastAsiaTheme="majorEastAsia" w:hAnsiTheme="majorHAnsi" w:cstheme="majorBidi"/>
          <w:i/>
          <w:sz w:val="26"/>
          <w:szCs w:val="26"/>
        </w:rPr>
        <w:t xml:space="preserve"> come from?</w:t>
      </w:r>
    </w:p>
    <w:p w:rsidR="00F364DA" w:rsidRDefault="00F364DA" w:rsidP="00F364DA">
      <w:pPr>
        <w:rPr>
          <w:sz w:val="20"/>
          <w:szCs w:val="20"/>
        </w:rPr>
      </w:pPr>
      <w:r w:rsidRPr="00F364DA">
        <w:rPr>
          <w:sz w:val="20"/>
          <w:szCs w:val="20"/>
        </w:rPr>
        <w:t>(You can skip this if you are only interested in carrying out the calculations)</w:t>
      </w:r>
    </w:p>
    <w:p w:rsidR="00BC53D2" w:rsidRDefault="00BC53D2" w:rsidP="00BC53D2"/>
    <w:p w:rsidR="00BC53D2" w:rsidRDefault="00BC53D2" w:rsidP="00BC53D2">
      <w:r>
        <w:t xml:space="preserve">Hazard ratios </w:t>
      </w:r>
      <w:r w:rsidR="00F569FA">
        <w:t xml:space="preserve">(HRs) </w:t>
      </w:r>
      <w:r>
        <w:t>are estimated from Cox proportional hazards models (also known as Cox regression models). For these models,</w:t>
      </w:r>
    </w:p>
    <w:p w:rsidR="00BC53D2" w:rsidRDefault="0076324B" w:rsidP="00D60E19">
      <w:pPr>
        <w:jc w:val="center"/>
      </w:pPr>
      <w:r>
        <w:rPr>
          <w:noProof/>
          <w:lang w:eastAsia="zh-CN"/>
        </w:rPr>
        <w:drawing>
          <wp:inline distT="0" distB="0" distL="0" distR="0" wp14:anchorId="396703DF">
            <wp:extent cx="4561194" cy="2888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3024" cy="332078"/>
                    </a:xfrm>
                    <a:prstGeom prst="rect">
                      <a:avLst/>
                    </a:prstGeom>
                    <a:noFill/>
                  </pic:spPr>
                </pic:pic>
              </a:graphicData>
            </a:graphic>
          </wp:inline>
        </w:drawing>
      </w:r>
    </w:p>
    <w:p w:rsidR="00F569FA" w:rsidRDefault="0076324B" w:rsidP="00F569FA">
      <w:r>
        <w:t xml:space="preserve">Where </w:t>
      </w:r>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oMath>
      <w:r w:rsidR="00BC53D2">
        <w:t xml:space="preserve"> are predictor variables</w:t>
      </w:r>
      <w:r w:rsidR="0027590F">
        <w:t xml:space="preserve">, </w:t>
      </w:r>
      <w:r w:rsidR="0027590F" w:rsidRPr="0027590F">
        <w:t xml:space="preserve"> </w:t>
      </w:r>
      <m:oMath>
        <m:sSub>
          <m:sSubPr>
            <m:ctrlPr>
              <w:rPr>
                <w:rFonts w:ascii="Cambria Math" w:hAnsi="Cambria Math"/>
                <w:i/>
              </w:rPr>
            </m:ctrlPr>
          </m:sSubPr>
          <m:e>
            <m:r>
              <w:rPr>
                <w:rFonts w:ascii="Cambria Math" w:hAnsi="Cambria Math"/>
              </w:rPr>
              <m:t>β</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c</m:t>
            </m:r>
          </m:sub>
        </m:sSub>
        <m:r>
          <w:rPr>
            <w:rFonts w:ascii="Cambria Math" w:hAnsi="Cambria Math"/>
          </w:rPr>
          <m:t>….</m:t>
        </m:r>
      </m:oMath>
      <w:r w:rsidR="0027590F">
        <w:t xml:space="preserve"> are</w:t>
      </w:r>
      <w:r w:rsidR="00BC53D2">
        <w:t xml:space="preserve"> </w:t>
      </w:r>
      <w:r w:rsidR="0027590F">
        <w:t xml:space="preserve">the coefficients, </w:t>
      </w:r>
      <w:r w:rsidR="00BC53D2">
        <w:t xml:space="preserve">and </w:t>
      </w:r>
      <m:oMath>
        <m:r>
          <w:rPr>
            <w:rFonts w:ascii="Cambria Math" w:hAnsi="Cambria Math"/>
          </w:rPr>
          <m:t>h</m:t>
        </m:r>
        <m:sSub>
          <m:sSubPr>
            <m:ctrlPr>
              <w:rPr>
                <w:rFonts w:ascii="Cambria Math" w:hAnsi="Cambria Math"/>
                <w:i/>
              </w:rPr>
            </m:ctrlPr>
          </m:sSubPr>
          <m:e>
            <m:d>
              <m:dPr>
                <m:ctrlPr>
                  <w:rPr>
                    <w:rFonts w:ascii="Cambria Math" w:hAnsi="Cambria Math"/>
                    <w:i/>
                  </w:rPr>
                </m:ctrlPr>
              </m:dPr>
              <m:e>
                <m:r>
                  <w:rPr>
                    <w:rFonts w:ascii="Cambria Math" w:hAnsi="Cambria Math"/>
                  </w:rPr>
                  <m:t>t</m:t>
                </m:r>
              </m:e>
            </m:d>
          </m:e>
          <m:sub>
            <m:r>
              <w:rPr>
                <w:rFonts w:ascii="Cambria Math" w:hAnsi="Cambria Math"/>
              </w:rPr>
              <m:t>o</m:t>
            </m:r>
          </m:sub>
        </m:sSub>
      </m:oMath>
      <w:r w:rsidR="00BC53D2">
        <w:rPr>
          <w:rFonts w:eastAsiaTheme="minorEastAsia"/>
        </w:rPr>
        <w:t xml:space="preserve"> is the baseline hazard.</w:t>
      </w:r>
      <w:r w:rsidR="00F569FA" w:rsidRPr="00F569FA">
        <w:t xml:space="preserve"> </w:t>
      </w:r>
    </w:p>
    <w:p w:rsidR="00F569FA" w:rsidRDefault="00F569FA" w:rsidP="00F569FA"/>
    <w:p w:rsidR="00F569FA" w:rsidRDefault="00F569FA" w:rsidP="00F569FA">
      <w:r>
        <w:t xml:space="preserve">Consider increases in </w:t>
      </w:r>
      <m:oMath>
        <m:sSub>
          <m:sSubPr>
            <m:ctrlPr>
              <w:rPr>
                <w:rFonts w:ascii="Cambria Math" w:hAnsi="Cambria Math"/>
                <w:i/>
              </w:rPr>
            </m:ctrlPr>
          </m:sSubPr>
          <m:e>
            <m:r>
              <w:rPr>
                <w:rFonts w:ascii="Cambria Math" w:hAnsi="Cambria Math"/>
              </w:rPr>
              <m:t>P</m:t>
            </m:r>
          </m:e>
          <m:sub>
            <m:r>
              <w:rPr>
                <w:rFonts w:ascii="Cambria Math" w:hAnsi="Cambria Math"/>
              </w:rPr>
              <m:t>a</m:t>
            </m:r>
          </m:sub>
        </m:sSub>
      </m:oMath>
      <w:r>
        <w:rPr>
          <w:rFonts w:eastAsiaTheme="minorEastAsia"/>
        </w:rPr>
        <w:t xml:space="preserve"> only with all other predictors kept constant.</w:t>
      </w:r>
    </w:p>
    <w:p w:rsidR="00BC53D2" w:rsidRDefault="00EA5334" w:rsidP="009869BA">
      <w:pPr>
        <w:jc w:val="left"/>
      </w:pPr>
      <w:r>
        <w:rPr>
          <w:noProof/>
          <w:lang w:eastAsia="zh-CN"/>
        </w:rPr>
        <w:drawing>
          <wp:inline distT="0" distB="0" distL="0" distR="0" wp14:anchorId="5FC2B38F">
            <wp:extent cx="5253752" cy="4594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5392" cy="486747"/>
                    </a:xfrm>
                    <a:prstGeom prst="rect">
                      <a:avLst/>
                    </a:prstGeom>
                    <a:noFill/>
                  </pic:spPr>
                </pic:pic>
              </a:graphicData>
            </a:graphic>
          </wp:inline>
        </w:drawing>
      </w:r>
    </w:p>
    <w:p w:rsidR="009869BA" w:rsidRDefault="009869BA" w:rsidP="009869BA">
      <w:pPr>
        <w:jc w:val="left"/>
      </w:pPr>
      <w:r>
        <w:rPr>
          <w:noProof/>
          <w:lang w:eastAsia="zh-CN"/>
        </w:rPr>
        <w:drawing>
          <wp:inline distT="0" distB="0" distL="0" distR="0" wp14:anchorId="0C18283B" wp14:editId="15CC1EE7">
            <wp:extent cx="5680710" cy="4647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8856" cy="487517"/>
                    </a:xfrm>
                    <a:prstGeom prst="rect">
                      <a:avLst/>
                    </a:prstGeom>
                    <a:noFill/>
                  </pic:spPr>
                </pic:pic>
              </a:graphicData>
            </a:graphic>
          </wp:inline>
        </w:drawing>
      </w:r>
    </w:p>
    <w:p w:rsidR="00B65BC8" w:rsidRDefault="00B65BC8" w:rsidP="00B65BC8">
      <w:r>
        <w:t xml:space="preserve">Terms cancel out because </w:t>
      </w:r>
    </w:p>
    <w:p w:rsidR="00B65BC8" w:rsidRDefault="00FC5FEB" w:rsidP="00B65BC8">
      <w:r>
        <w:rPr>
          <w:noProof/>
          <w:lang w:eastAsia="zh-CN"/>
        </w:rPr>
        <w:drawing>
          <wp:inline distT="0" distB="0" distL="0" distR="0" wp14:anchorId="36A9801B" wp14:editId="1FA46174">
            <wp:extent cx="1155384" cy="224155"/>
            <wp:effectExtent l="0" t="0" r="6985"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0859" cy="225217"/>
                    </a:xfrm>
                    <a:prstGeom prst="rect">
                      <a:avLst/>
                    </a:prstGeom>
                    <a:noFill/>
                  </pic:spPr>
                </pic:pic>
              </a:graphicData>
            </a:graphic>
          </wp:inline>
        </w:drawing>
      </w:r>
    </w:p>
    <w:p w:rsidR="00B65BC8" w:rsidRDefault="00B65BC8" w:rsidP="00B65BC8">
      <w:r>
        <w:t>A</w:t>
      </w:r>
      <w:r w:rsidRPr="008611B6">
        <w:t>ssum</w:t>
      </w:r>
      <w:r>
        <w:t>ing</w:t>
      </w:r>
      <w:r w:rsidRPr="008611B6">
        <w:t xml:space="preserve"> a constant hazard for each unit increase </w:t>
      </w:r>
      <w:r w:rsidR="00F569FA">
        <w:t>(</w:t>
      </w:r>
      <w:r w:rsidR="0027590F">
        <w:t xml:space="preserve">this is </w:t>
      </w:r>
      <w:r w:rsidR="00F569FA">
        <w:t xml:space="preserve">the </w:t>
      </w:r>
      <w:r w:rsidRPr="008611B6">
        <w:t>proportional hazards assumption of the Cox regression model</w:t>
      </w:r>
      <w:r w:rsidR="00F569FA">
        <w:t>)</w:t>
      </w:r>
      <w:r w:rsidR="007964D5">
        <w:t>:</w:t>
      </w:r>
    </w:p>
    <w:p w:rsidR="008611B6" w:rsidRDefault="008611B6" w:rsidP="00BC53D2">
      <w:r>
        <w:rPr>
          <w:noProof/>
          <w:lang w:eastAsia="zh-CN"/>
        </w:rPr>
        <w:drawing>
          <wp:inline distT="0" distB="0" distL="0" distR="0" wp14:anchorId="220C63EB">
            <wp:extent cx="5546623" cy="369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039" cy="375700"/>
                    </a:xfrm>
                    <a:prstGeom prst="rect">
                      <a:avLst/>
                    </a:prstGeom>
                    <a:noFill/>
                  </pic:spPr>
                </pic:pic>
              </a:graphicData>
            </a:graphic>
          </wp:inline>
        </w:drawing>
      </w:r>
    </w:p>
    <w:p w:rsidR="008611B6" w:rsidRDefault="00B65BC8" w:rsidP="00BC53D2">
      <w:r>
        <w:rPr>
          <w:noProof/>
          <w:lang w:eastAsia="en-GB"/>
        </w:rPr>
        <w:t xml:space="preserve">Similarly for a HR for </w:t>
      </w:r>
      <w:r w:rsidR="007964D5">
        <w:rPr>
          <w:noProof/>
          <w:lang w:eastAsia="en-GB"/>
        </w:rPr>
        <w:t xml:space="preserve">an increase of </w:t>
      </w:r>
      <w:r>
        <w:rPr>
          <w:noProof/>
          <w:lang w:eastAsia="en-GB"/>
        </w:rPr>
        <w:t xml:space="preserve">y units and substituting </w:t>
      </w:r>
    </w:p>
    <w:p w:rsidR="002860CD" w:rsidRDefault="007964D5" w:rsidP="008758B4">
      <w:pPr>
        <w:rPr>
          <w:b/>
        </w:rPr>
      </w:pPr>
      <w:r>
        <w:rPr>
          <w:b/>
          <w:noProof/>
          <w:lang w:eastAsia="zh-CN"/>
        </w:rPr>
        <w:drawing>
          <wp:inline distT="0" distB="0" distL="0" distR="0" wp14:anchorId="652779BD">
            <wp:extent cx="4393196" cy="41126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4502" cy="456324"/>
                    </a:xfrm>
                    <a:prstGeom prst="rect">
                      <a:avLst/>
                    </a:prstGeom>
                    <a:noFill/>
                  </pic:spPr>
                </pic:pic>
              </a:graphicData>
            </a:graphic>
          </wp:inline>
        </w:drawing>
      </w:r>
    </w:p>
    <w:p w:rsidR="00DE1CD7" w:rsidRDefault="007964D5" w:rsidP="008758B4">
      <w:pPr>
        <w:rPr>
          <w:noProof/>
          <w:lang w:eastAsia="en-GB"/>
        </w:rPr>
      </w:pPr>
      <w:r>
        <w:rPr>
          <w:noProof/>
          <w:lang w:eastAsia="en-GB"/>
        </w:rPr>
        <w:t>The same calculations apply to the upper and lower confidence limits</w:t>
      </w:r>
      <w:r w:rsidR="00DE1CD7">
        <w:rPr>
          <w:noProof/>
          <w:lang w:eastAsia="en-GB"/>
        </w:rPr>
        <w:t>.</w:t>
      </w:r>
    </w:p>
    <w:p w:rsidR="00DE1CD7" w:rsidRDefault="00DE1CD7" w:rsidP="008758B4">
      <w:pPr>
        <w:rPr>
          <w:noProof/>
          <w:lang w:eastAsia="en-GB"/>
        </w:rPr>
      </w:pPr>
      <w:r>
        <w:rPr>
          <w:noProof/>
          <w:lang w:eastAsia="en-GB"/>
        </w:rPr>
        <w:t>Therefore, scaling from x units to y units increase in the predictor variable</w:t>
      </w:r>
    </w:p>
    <w:p w:rsidR="00DE1CD7" w:rsidRDefault="002731A1" w:rsidP="008758B4">
      <w:pPr>
        <w:rPr>
          <w:noProof/>
          <w:lang w:eastAsia="en-GB"/>
        </w:rPr>
      </w:pPr>
      <m:oMath>
        <m:sSub>
          <m:sSubPr>
            <m:ctrlPr>
              <w:rPr>
                <w:rFonts w:ascii="Cambria Math" w:hAnsi="Cambria Math"/>
                <w:i/>
                <w:noProof/>
                <w:lang w:eastAsia="en-GB"/>
              </w:rPr>
            </m:ctrlPr>
          </m:sSubPr>
          <m:e>
            <m:r>
              <w:rPr>
                <w:rFonts w:ascii="Cambria Math" w:hAnsi="Cambria Math"/>
                <w:noProof/>
                <w:lang w:eastAsia="en-GB"/>
              </w:rPr>
              <m:t>HR</m:t>
            </m:r>
          </m:e>
          <m:sub>
            <m:r>
              <w:rPr>
                <w:rFonts w:ascii="Cambria Math" w:hAnsi="Cambria Math"/>
                <w:noProof/>
                <w:lang w:eastAsia="en-GB"/>
              </w:rPr>
              <m:t>x</m:t>
            </m:r>
          </m:sub>
        </m:sSub>
        <m:d>
          <m:dPr>
            <m:ctrlPr>
              <w:rPr>
                <w:rFonts w:ascii="Cambria Math" w:hAnsi="Cambria Math"/>
                <w:i/>
                <w:noProof/>
                <w:lang w:eastAsia="en-GB"/>
              </w:rPr>
            </m:ctrlPr>
          </m:dPr>
          <m:e>
            <m:sSub>
              <m:sSubPr>
                <m:ctrlPr>
                  <w:rPr>
                    <w:rFonts w:ascii="Cambria Math" w:hAnsi="Cambria Math"/>
                    <w:i/>
                    <w:noProof/>
                    <w:lang w:eastAsia="en-GB"/>
                  </w:rPr>
                </m:ctrlPr>
              </m:sSubPr>
              <m:e>
                <m:r>
                  <w:rPr>
                    <w:rFonts w:ascii="Cambria Math" w:hAnsi="Cambria Math"/>
                    <w:noProof/>
                    <w:lang w:eastAsia="en-GB"/>
                  </w:rPr>
                  <m:t>lowerCI</m:t>
                </m:r>
              </m:e>
              <m:sub>
                <m:r>
                  <w:rPr>
                    <w:rFonts w:ascii="Cambria Math" w:hAnsi="Cambria Math"/>
                    <w:noProof/>
                    <w:lang w:eastAsia="en-GB"/>
                  </w:rPr>
                  <m:t>x</m:t>
                </m:r>
              </m:sub>
            </m:sSub>
            <m:r>
              <w:rPr>
                <w:rFonts w:ascii="Cambria Math" w:hAnsi="Cambria Math"/>
                <w:noProof/>
                <w:lang w:eastAsia="en-GB"/>
              </w:rPr>
              <m:t xml:space="preserve"> to </m:t>
            </m:r>
            <m:sSub>
              <m:sSubPr>
                <m:ctrlPr>
                  <w:rPr>
                    <w:rFonts w:ascii="Cambria Math" w:hAnsi="Cambria Math"/>
                    <w:i/>
                    <w:noProof/>
                    <w:lang w:eastAsia="en-GB"/>
                  </w:rPr>
                </m:ctrlPr>
              </m:sSubPr>
              <m:e>
                <m:r>
                  <w:rPr>
                    <w:rFonts w:ascii="Cambria Math" w:hAnsi="Cambria Math"/>
                    <w:noProof/>
                    <w:lang w:eastAsia="en-GB"/>
                  </w:rPr>
                  <m:t>upperCI</m:t>
                </m:r>
              </m:e>
              <m:sub>
                <m:r>
                  <w:rPr>
                    <w:rFonts w:ascii="Cambria Math" w:hAnsi="Cambria Math"/>
                    <w:noProof/>
                    <w:lang w:eastAsia="en-GB"/>
                  </w:rPr>
                  <m:t>x</m:t>
                </m:r>
              </m:sub>
            </m:sSub>
          </m:e>
        </m:d>
        <m:r>
          <w:rPr>
            <w:rFonts w:ascii="Cambria Math" w:hAnsi="Cambria Math"/>
            <w:noProof/>
            <w:lang w:eastAsia="en-GB"/>
          </w:rPr>
          <m:t xml:space="preserve"> rescales to </m:t>
        </m:r>
        <m:sSup>
          <m:sSupPr>
            <m:ctrlPr>
              <w:rPr>
                <w:rFonts w:ascii="Cambria Math" w:hAnsi="Cambria Math"/>
                <w:i/>
                <w:noProof/>
                <w:lang w:eastAsia="en-GB"/>
              </w:rPr>
            </m:ctrlPr>
          </m:sSupPr>
          <m:e>
            <m:d>
              <m:dPr>
                <m:ctrlPr>
                  <w:rPr>
                    <w:rFonts w:ascii="Cambria Math" w:hAnsi="Cambria Math"/>
                    <w:i/>
                    <w:noProof/>
                    <w:lang w:eastAsia="en-GB"/>
                  </w:rPr>
                </m:ctrlPr>
              </m:dPr>
              <m:e>
                <m:sSub>
                  <m:sSubPr>
                    <m:ctrlPr>
                      <w:rPr>
                        <w:rFonts w:ascii="Cambria Math" w:hAnsi="Cambria Math"/>
                        <w:i/>
                        <w:noProof/>
                        <w:lang w:eastAsia="en-GB"/>
                      </w:rPr>
                    </m:ctrlPr>
                  </m:sSubPr>
                  <m:e>
                    <m:r>
                      <w:rPr>
                        <w:rFonts w:ascii="Cambria Math" w:hAnsi="Cambria Math"/>
                        <w:noProof/>
                        <w:lang w:eastAsia="en-GB"/>
                      </w:rPr>
                      <m:t>HR</m:t>
                    </m:r>
                  </m:e>
                  <m:sub>
                    <m:r>
                      <w:rPr>
                        <w:rFonts w:ascii="Cambria Math" w:hAnsi="Cambria Math"/>
                        <w:noProof/>
                        <w:lang w:eastAsia="en-GB"/>
                      </w:rPr>
                      <m:t>x</m:t>
                    </m:r>
                  </m:sub>
                </m:sSub>
              </m:e>
            </m:d>
          </m:e>
          <m:sup>
            <m:f>
              <m:fPr>
                <m:ctrlPr>
                  <w:rPr>
                    <w:rFonts w:ascii="Cambria Math" w:hAnsi="Cambria Math"/>
                    <w:i/>
                    <w:noProof/>
                    <w:lang w:eastAsia="en-GB"/>
                  </w:rPr>
                </m:ctrlPr>
              </m:fPr>
              <m:num>
                <m:r>
                  <w:rPr>
                    <w:rFonts w:ascii="Cambria Math" w:hAnsi="Cambria Math"/>
                    <w:noProof/>
                    <w:lang w:eastAsia="en-GB"/>
                  </w:rPr>
                  <m:t>y</m:t>
                </m:r>
              </m:num>
              <m:den>
                <m:r>
                  <w:rPr>
                    <w:rFonts w:ascii="Cambria Math" w:hAnsi="Cambria Math"/>
                    <w:noProof/>
                    <w:lang w:eastAsia="en-GB"/>
                  </w:rPr>
                  <m:t>x</m:t>
                </m:r>
              </m:den>
            </m:f>
          </m:sup>
        </m:sSup>
      </m:oMath>
      <w:r w:rsidR="00FC5FEB">
        <w:rPr>
          <w:rFonts w:eastAsiaTheme="minorEastAsia"/>
          <w:noProof/>
          <w:lang w:eastAsia="en-GB"/>
        </w:rPr>
        <w:t xml:space="preserve"> </w:t>
      </w:r>
      <m:oMath>
        <m:d>
          <m:dPr>
            <m:begChr m:val="{"/>
            <m:endChr m:val="}"/>
            <m:ctrlPr>
              <w:rPr>
                <w:rFonts w:ascii="Cambria Math" w:hAnsi="Cambria Math"/>
                <w:i/>
                <w:noProof/>
                <w:lang w:eastAsia="en-GB"/>
              </w:rPr>
            </m:ctrlPr>
          </m:dPr>
          <m:e>
            <m:sSup>
              <m:sSupPr>
                <m:ctrlPr>
                  <w:rPr>
                    <w:rFonts w:ascii="Cambria Math" w:hAnsi="Cambria Math"/>
                    <w:i/>
                    <w:noProof/>
                    <w:lang w:eastAsia="en-GB"/>
                  </w:rPr>
                </m:ctrlPr>
              </m:sSupPr>
              <m:e>
                <m:d>
                  <m:dPr>
                    <m:ctrlPr>
                      <w:rPr>
                        <w:rFonts w:ascii="Cambria Math" w:hAnsi="Cambria Math"/>
                        <w:i/>
                        <w:noProof/>
                        <w:lang w:eastAsia="en-GB"/>
                      </w:rPr>
                    </m:ctrlPr>
                  </m:dPr>
                  <m:e>
                    <m:sSub>
                      <m:sSubPr>
                        <m:ctrlPr>
                          <w:rPr>
                            <w:rFonts w:ascii="Cambria Math" w:hAnsi="Cambria Math"/>
                            <w:i/>
                            <w:noProof/>
                            <w:lang w:eastAsia="en-GB"/>
                          </w:rPr>
                        </m:ctrlPr>
                      </m:sSubPr>
                      <m:e>
                        <m:r>
                          <w:rPr>
                            <w:rFonts w:ascii="Cambria Math" w:hAnsi="Cambria Math"/>
                            <w:noProof/>
                            <w:lang w:eastAsia="en-GB"/>
                          </w:rPr>
                          <m:t>lowerCI</m:t>
                        </m:r>
                      </m:e>
                      <m:sub>
                        <m:r>
                          <w:rPr>
                            <w:rFonts w:ascii="Cambria Math" w:hAnsi="Cambria Math"/>
                            <w:noProof/>
                            <w:lang w:eastAsia="en-GB"/>
                          </w:rPr>
                          <m:t>x</m:t>
                        </m:r>
                      </m:sub>
                    </m:sSub>
                  </m:e>
                </m:d>
              </m:e>
              <m:sup>
                <m:f>
                  <m:fPr>
                    <m:ctrlPr>
                      <w:rPr>
                        <w:rFonts w:ascii="Cambria Math" w:hAnsi="Cambria Math"/>
                        <w:i/>
                        <w:noProof/>
                        <w:lang w:eastAsia="en-GB"/>
                      </w:rPr>
                    </m:ctrlPr>
                  </m:fPr>
                  <m:num>
                    <m:r>
                      <w:rPr>
                        <w:rFonts w:ascii="Cambria Math" w:hAnsi="Cambria Math"/>
                        <w:noProof/>
                        <w:lang w:eastAsia="en-GB"/>
                      </w:rPr>
                      <m:t>y</m:t>
                    </m:r>
                  </m:num>
                  <m:den>
                    <m:r>
                      <w:rPr>
                        <w:rFonts w:ascii="Cambria Math" w:hAnsi="Cambria Math"/>
                        <w:noProof/>
                        <w:lang w:eastAsia="en-GB"/>
                      </w:rPr>
                      <m:t>x</m:t>
                    </m:r>
                  </m:den>
                </m:f>
              </m:sup>
            </m:sSup>
            <m:r>
              <w:rPr>
                <w:rFonts w:ascii="Cambria Math" w:hAnsi="Cambria Math"/>
                <w:noProof/>
                <w:lang w:eastAsia="en-GB"/>
              </w:rPr>
              <m:t xml:space="preserve"> to</m:t>
            </m:r>
            <m:sSup>
              <m:sSupPr>
                <m:ctrlPr>
                  <w:rPr>
                    <w:rFonts w:ascii="Cambria Math" w:hAnsi="Cambria Math"/>
                    <w:i/>
                    <w:noProof/>
                    <w:lang w:eastAsia="en-GB"/>
                  </w:rPr>
                </m:ctrlPr>
              </m:sSupPr>
              <m:e>
                <m:d>
                  <m:dPr>
                    <m:ctrlPr>
                      <w:rPr>
                        <w:rFonts w:ascii="Cambria Math" w:hAnsi="Cambria Math"/>
                        <w:i/>
                        <w:noProof/>
                        <w:lang w:eastAsia="en-GB"/>
                      </w:rPr>
                    </m:ctrlPr>
                  </m:dPr>
                  <m:e>
                    <m:sSub>
                      <m:sSubPr>
                        <m:ctrlPr>
                          <w:rPr>
                            <w:rFonts w:ascii="Cambria Math" w:hAnsi="Cambria Math"/>
                            <w:i/>
                            <w:noProof/>
                            <w:lang w:eastAsia="en-GB"/>
                          </w:rPr>
                        </m:ctrlPr>
                      </m:sSubPr>
                      <m:e>
                        <m:r>
                          <w:rPr>
                            <w:rFonts w:ascii="Cambria Math" w:hAnsi="Cambria Math"/>
                            <w:noProof/>
                            <w:lang w:eastAsia="en-GB"/>
                          </w:rPr>
                          <m:t>upperCI</m:t>
                        </m:r>
                      </m:e>
                      <m:sub>
                        <m:r>
                          <w:rPr>
                            <w:rFonts w:ascii="Cambria Math" w:hAnsi="Cambria Math"/>
                            <w:noProof/>
                            <w:lang w:eastAsia="en-GB"/>
                          </w:rPr>
                          <m:t>x</m:t>
                        </m:r>
                      </m:sub>
                    </m:sSub>
                  </m:e>
                </m:d>
              </m:e>
              <m:sup>
                <m:f>
                  <m:fPr>
                    <m:ctrlPr>
                      <w:rPr>
                        <w:rFonts w:ascii="Cambria Math" w:hAnsi="Cambria Math"/>
                        <w:i/>
                        <w:noProof/>
                        <w:lang w:eastAsia="en-GB"/>
                      </w:rPr>
                    </m:ctrlPr>
                  </m:fPr>
                  <m:num>
                    <m:r>
                      <w:rPr>
                        <w:rFonts w:ascii="Cambria Math" w:hAnsi="Cambria Math"/>
                        <w:noProof/>
                        <w:lang w:eastAsia="en-GB"/>
                      </w:rPr>
                      <m:t>y</m:t>
                    </m:r>
                  </m:num>
                  <m:den>
                    <m:r>
                      <w:rPr>
                        <w:rFonts w:ascii="Cambria Math" w:hAnsi="Cambria Math"/>
                        <w:noProof/>
                        <w:lang w:eastAsia="en-GB"/>
                      </w:rPr>
                      <m:t>x</m:t>
                    </m:r>
                  </m:den>
                </m:f>
              </m:sup>
            </m:sSup>
          </m:e>
        </m:d>
        <m:r>
          <w:rPr>
            <w:rFonts w:ascii="Cambria Math" w:hAnsi="Cambria Math"/>
            <w:noProof/>
            <w:lang w:eastAsia="en-GB"/>
          </w:rPr>
          <m:t xml:space="preserve"> </m:t>
        </m:r>
      </m:oMath>
    </w:p>
    <w:p w:rsidR="00EA5334" w:rsidRDefault="00EA5334" w:rsidP="008758B4">
      <w:pPr>
        <w:rPr>
          <w:noProof/>
          <w:lang w:eastAsia="en-GB"/>
        </w:rPr>
      </w:pPr>
    </w:p>
    <w:p w:rsidR="001C336C" w:rsidRDefault="001C336C" w:rsidP="001C336C">
      <w:pPr>
        <w:jc w:val="left"/>
        <w:rPr>
          <w:b/>
        </w:rPr>
      </w:pPr>
      <w:r>
        <w:rPr>
          <w:b/>
        </w:rPr>
        <w:t xml:space="preserve">Dr Kathy Taylor teaches data extraction in Meta-analysis, </w:t>
      </w:r>
      <w:hyperlink r:id="rId19" w:history="1">
        <w:r w:rsidRPr="00444C0C">
          <w:rPr>
            <w:rStyle w:val="Hyperlink"/>
            <w:b/>
          </w:rPr>
          <w:t>https://www.conted.ox.ac.uk/courses/meta-analysis&lt;/link</w:t>
        </w:r>
      </w:hyperlink>
      <w:r>
        <w:rPr>
          <w:b/>
        </w:rPr>
        <w:t xml:space="preserve">&gt; This is a short course that is also available as part of our MSc in Evidence-Based Health Care </w:t>
      </w:r>
    </w:p>
    <w:p w:rsidR="001C336C" w:rsidRDefault="002731A1" w:rsidP="001C336C">
      <w:pPr>
        <w:jc w:val="left"/>
        <w:rPr>
          <w:b/>
        </w:rPr>
      </w:pPr>
      <w:hyperlink r:id="rId20" w:history="1">
        <w:r w:rsidR="001C336C" w:rsidRPr="00444C0C">
          <w:rPr>
            <w:rStyle w:val="Hyperlink"/>
            <w:b/>
          </w:rPr>
          <w:t>https://www.conted.ox.ac.uk/about/msc-in-evidence-based-health-care</w:t>
        </w:r>
      </w:hyperlink>
      <w:r w:rsidR="001C336C">
        <w:rPr>
          <w:b/>
        </w:rPr>
        <w:t xml:space="preserve">, MSc in Medical Statistics </w:t>
      </w:r>
    </w:p>
    <w:p w:rsidR="001C336C" w:rsidRDefault="002731A1" w:rsidP="001C336C">
      <w:pPr>
        <w:jc w:val="left"/>
        <w:rPr>
          <w:b/>
        </w:rPr>
      </w:pPr>
      <w:hyperlink r:id="rId21" w:history="1">
        <w:r w:rsidR="001C336C" w:rsidRPr="00444C0C">
          <w:rPr>
            <w:rStyle w:val="Hyperlink"/>
            <w:b/>
          </w:rPr>
          <w:t>https://www.conted.ox.ac.uk/about/msc-in-ebhc-medical-statistics</w:t>
        </w:r>
      </w:hyperlink>
      <w:r w:rsidR="001C336C">
        <w:rPr>
          <w:b/>
        </w:rPr>
        <w:t xml:space="preserve">, and MSc in Systematic Reviews </w:t>
      </w:r>
    </w:p>
    <w:p w:rsidR="001C336C" w:rsidRDefault="002731A1" w:rsidP="001C336C">
      <w:pPr>
        <w:jc w:val="left"/>
        <w:rPr>
          <w:b/>
        </w:rPr>
      </w:pPr>
      <w:hyperlink r:id="rId22" w:history="1">
        <w:r w:rsidR="001C336C" w:rsidRPr="00444C0C">
          <w:rPr>
            <w:rStyle w:val="Hyperlink"/>
            <w:b/>
          </w:rPr>
          <w:t>https://www.conted.ox.ac.uk/about/msc-in-ebhc-systematic-reviews</w:t>
        </w:r>
      </w:hyperlink>
    </w:p>
    <w:p w:rsidR="001C336C" w:rsidRDefault="001C336C" w:rsidP="001C336C">
      <w:pPr>
        <w:rPr>
          <w:b/>
        </w:rPr>
      </w:pPr>
    </w:p>
    <w:p w:rsidR="00430366" w:rsidRDefault="001C336C" w:rsidP="00075A76">
      <w:r>
        <w:rPr>
          <w:b/>
        </w:rPr>
        <w:t>Follow updates on this blog and related news on Twitter @</w:t>
      </w:r>
      <w:proofErr w:type="spellStart"/>
      <w:r>
        <w:rPr>
          <w:b/>
        </w:rPr>
        <w:t>dataextips</w:t>
      </w:r>
      <w:proofErr w:type="spellEnd"/>
    </w:p>
    <w:sectPr w:rsidR="00430366" w:rsidSect="00E7148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60E"/>
    <w:multiLevelType w:val="hybridMultilevel"/>
    <w:tmpl w:val="FD04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958F7"/>
    <w:multiLevelType w:val="hybridMultilevel"/>
    <w:tmpl w:val="76924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20066"/>
    <w:multiLevelType w:val="hybridMultilevel"/>
    <w:tmpl w:val="11203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4751F"/>
    <w:multiLevelType w:val="hybridMultilevel"/>
    <w:tmpl w:val="FBE4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2C0092"/>
    <w:multiLevelType w:val="hybridMultilevel"/>
    <w:tmpl w:val="C0A2A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0"/>
    <w:rsid w:val="00030E37"/>
    <w:rsid w:val="0003161B"/>
    <w:rsid w:val="0004354A"/>
    <w:rsid w:val="00062810"/>
    <w:rsid w:val="00072FF1"/>
    <w:rsid w:val="00075A76"/>
    <w:rsid w:val="00081903"/>
    <w:rsid w:val="00087C92"/>
    <w:rsid w:val="000A72C7"/>
    <w:rsid w:val="000C5427"/>
    <w:rsid w:val="000D08E4"/>
    <w:rsid w:val="000D6955"/>
    <w:rsid w:val="000E1D35"/>
    <w:rsid w:val="0011090E"/>
    <w:rsid w:val="001125AC"/>
    <w:rsid w:val="00112F97"/>
    <w:rsid w:val="00131C6D"/>
    <w:rsid w:val="00144D03"/>
    <w:rsid w:val="001475B0"/>
    <w:rsid w:val="00164538"/>
    <w:rsid w:val="00165841"/>
    <w:rsid w:val="00165953"/>
    <w:rsid w:val="0017670D"/>
    <w:rsid w:val="00197F74"/>
    <w:rsid w:val="001A2BE8"/>
    <w:rsid w:val="001C09D5"/>
    <w:rsid w:val="001C336C"/>
    <w:rsid w:val="001D2705"/>
    <w:rsid w:val="001F00A0"/>
    <w:rsid w:val="0020157D"/>
    <w:rsid w:val="0021794F"/>
    <w:rsid w:val="00226CC2"/>
    <w:rsid w:val="002731A1"/>
    <w:rsid w:val="0027393E"/>
    <w:rsid w:val="00274D67"/>
    <w:rsid w:val="0027590F"/>
    <w:rsid w:val="00285A6D"/>
    <w:rsid w:val="002860CD"/>
    <w:rsid w:val="002922C3"/>
    <w:rsid w:val="00296359"/>
    <w:rsid w:val="002A0714"/>
    <w:rsid w:val="002C35B6"/>
    <w:rsid w:val="002D5228"/>
    <w:rsid w:val="002E4DD4"/>
    <w:rsid w:val="00302055"/>
    <w:rsid w:val="00305F0E"/>
    <w:rsid w:val="00314F39"/>
    <w:rsid w:val="00331DBD"/>
    <w:rsid w:val="003378D4"/>
    <w:rsid w:val="003629B6"/>
    <w:rsid w:val="0037154F"/>
    <w:rsid w:val="003B340D"/>
    <w:rsid w:val="003B4968"/>
    <w:rsid w:val="003D5A94"/>
    <w:rsid w:val="003E34A4"/>
    <w:rsid w:val="003E68DD"/>
    <w:rsid w:val="00402452"/>
    <w:rsid w:val="0041064A"/>
    <w:rsid w:val="00414909"/>
    <w:rsid w:val="00430366"/>
    <w:rsid w:val="00455569"/>
    <w:rsid w:val="0046759A"/>
    <w:rsid w:val="0047759D"/>
    <w:rsid w:val="00477F28"/>
    <w:rsid w:val="00482481"/>
    <w:rsid w:val="00495753"/>
    <w:rsid w:val="004A2803"/>
    <w:rsid w:val="004B6831"/>
    <w:rsid w:val="004C04E1"/>
    <w:rsid w:val="004C65A1"/>
    <w:rsid w:val="004D561C"/>
    <w:rsid w:val="004E0CBB"/>
    <w:rsid w:val="004E144A"/>
    <w:rsid w:val="004E32DC"/>
    <w:rsid w:val="00510A34"/>
    <w:rsid w:val="005248F0"/>
    <w:rsid w:val="005267FD"/>
    <w:rsid w:val="00532FDC"/>
    <w:rsid w:val="005472CC"/>
    <w:rsid w:val="005566AB"/>
    <w:rsid w:val="00567608"/>
    <w:rsid w:val="005742E7"/>
    <w:rsid w:val="00584992"/>
    <w:rsid w:val="0059005A"/>
    <w:rsid w:val="0059269E"/>
    <w:rsid w:val="0059771F"/>
    <w:rsid w:val="005979A9"/>
    <w:rsid w:val="005E3D36"/>
    <w:rsid w:val="005E647D"/>
    <w:rsid w:val="005F0D8F"/>
    <w:rsid w:val="0060455E"/>
    <w:rsid w:val="00622C71"/>
    <w:rsid w:val="00623B6F"/>
    <w:rsid w:val="0063042C"/>
    <w:rsid w:val="00636A06"/>
    <w:rsid w:val="00664E79"/>
    <w:rsid w:val="0066578C"/>
    <w:rsid w:val="00690B8B"/>
    <w:rsid w:val="006B41EB"/>
    <w:rsid w:val="006C1360"/>
    <w:rsid w:val="006C37E2"/>
    <w:rsid w:val="006E1FB0"/>
    <w:rsid w:val="006E27CE"/>
    <w:rsid w:val="00701C19"/>
    <w:rsid w:val="0071198B"/>
    <w:rsid w:val="007507D4"/>
    <w:rsid w:val="0076324B"/>
    <w:rsid w:val="00767585"/>
    <w:rsid w:val="00782E0A"/>
    <w:rsid w:val="00786B52"/>
    <w:rsid w:val="007964D5"/>
    <w:rsid w:val="007D6359"/>
    <w:rsid w:val="007F6A87"/>
    <w:rsid w:val="0083438C"/>
    <w:rsid w:val="008560A2"/>
    <w:rsid w:val="008611B6"/>
    <w:rsid w:val="008758B4"/>
    <w:rsid w:val="00882410"/>
    <w:rsid w:val="00883905"/>
    <w:rsid w:val="0088688E"/>
    <w:rsid w:val="0089457C"/>
    <w:rsid w:val="008A32A0"/>
    <w:rsid w:val="008A5B0D"/>
    <w:rsid w:val="008A740F"/>
    <w:rsid w:val="008B5F09"/>
    <w:rsid w:val="008F6E27"/>
    <w:rsid w:val="00915889"/>
    <w:rsid w:val="00917C3B"/>
    <w:rsid w:val="00930913"/>
    <w:rsid w:val="009774F0"/>
    <w:rsid w:val="00982C01"/>
    <w:rsid w:val="009869BA"/>
    <w:rsid w:val="009C0E5C"/>
    <w:rsid w:val="009D5879"/>
    <w:rsid w:val="00A012BD"/>
    <w:rsid w:val="00A11E5C"/>
    <w:rsid w:val="00A33749"/>
    <w:rsid w:val="00A40425"/>
    <w:rsid w:val="00A55C03"/>
    <w:rsid w:val="00A632F6"/>
    <w:rsid w:val="00A71B1D"/>
    <w:rsid w:val="00A8019C"/>
    <w:rsid w:val="00A97F28"/>
    <w:rsid w:val="00AA00C1"/>
    <w:rsid w:val="00AC44B0"/>
    <w:rsid w:val="00AE2912"/>
    <w:rsid w:val="00AF3137"/>
    <w:rsid w:val="00B2191C"/>
    <w:rsid w:val="00B2439B"/>
    <w:rsid w:val="00B3000A"/>
    <w:rsid w:val="00B569F9"/>
    <w:rsid w:val="00B6234D"/>
    <w:rsid w:val="00B65BC8"/>
    <w:rsid w:val="00B749EC"/>
    <w:rsid w:val="00B96FB4"/>
    <w:rsid w:val="00BA36A7"/>
    <w:rsid w:val="00BA6097"/>
    <w:rsid w:val="00BC2B4B"/>
    <w:rsid w:val="00BC53D2"/>
    <w:rsid w:val="00BE728D"/>
    <w:rsid w:val="00C45812"/>
    <w:rsid w:val="00C57CD2"/>
    <w:rsid w:val="00C74642"/>
    <w:rsid w:val="00C859C9"/>
    <w:rsid w:val="00C94A37"/>
    <w:rsid w:val="00CA1498"/>
    <w:rsid w:val="00CB4505"/>
    <w:rsid w:val="00CE27F3"/>
    <w:rsid w:val="00CF53D0"/>
    <w:rsid w:val="00D023F4"/>
    <w:rsid w:val="00D21D1F"/>
    <w:rsid w:val="00D271E7"/>
    <w:rsid w:val="00D32D70"/>
    <w:rsid w:val="00D44283"/>
    <w:rsid w:val="00D55D3D"/>
    <w:rsid w:val="00D608CB"/>
    <w:rsid w:val="00D60E19"/>
    <w:rsid w:val="00D63C0C"/>
    <w:rsid w:val="00D66F28"/>
    <w:rsid w:val="00D764E2"/>
    <w:rsid w:val="00D957C9"/>
    <w:rsid w:val="00DB042F"/>
    <w:rsid w:val="00DB68AD"/>
    <w:rsid w:val="00DC13BB"/>
    <w:rsid w:val="00DE1CD7"/>
    <w:rsid w:val="00DE1F65"/>
    <w:rsid w:val="00DF0F1C"/>
    <w:rsid w:val="00E0240E"/>
    <w:rsid w:val="00E15590"/>
    <w:rsid w:val="00E176B1"/>
    <w:rsid w:val="00E1779C"/>
    <w:rsid w:val="00E4590A"/>
    <w:rsid w:val="00E46418"/>
    <w:rsid w:val="00E51AFB"/>
    <w:rsid w:val="00E57BAA"/>
    <w:rsid w:val="00E6300E"/>
    <w:rsid w:val="00E7123C"/>
    <w:rsid w:val="00E71487"/>
    <w:rsid w:val="00E92A56"/>
    <w:rsid w:val="00E9656D"/>
    <w:rsid w:val="00E97064"/>
    <w:rsid w:val="00E97673"/>
    <w:rsid w:val="00EA5334"/>
    <w:rsid w:val="00EF139C"/>
    <w:rsid w:val="00F3196A"/>
    <w:rsid w:val="00F364DA"/>
    <w:rsid w:val="00F523A2"/>
    <w:rsid w:val="00F569FA"/>
    <w:rsid w:val="00F770EF"/>
    <w:rsid w:val="00FB2ECB"/>
    <w:rsid w:val="00FC4B9A"/>
    <w:rsid w:val="00FC5FEB"/>
    <w:rsid w:val="00FD2931"/>
    <w:rsid w:val="00FE1672"/>
    <w:rsid w:val="00FE2A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5B21"/>
  <w15:chartTrackingRefBased/>
  <w15:docId w15:val="{F1F27753-ED5F-4A39-AABA-FA9F8541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0A0"/>
    <w:pPr>
      <w:spacing w:after="0" w:line="300" w:lineRule="auto"/>
      <w:jc w:val="both"/>
    </w:pPr>
    <w:rPr>
      <w:sz w:val="24"/>
    </w:rPr>
  </w:style>
  <w:style w:type="paragraph" w:styleId="Heading2">
    <w:name w:val="heading 2"/>
    <w:basedOn w:val="Normal"/>
    <w:next w:val="Normal"/>
    <w:link w:val="Heading2Char"/>
    <w:autoRedefine/>
    <w:uiPriority w:val="9"/>
    <w:unhideWhenUsed/>
    <w:qFormat/>
    <w:rsid w:val="001F00A0"/>
    <w:pPr>
      <w:keepNext/>
      <w:keepLines/>
      <w:outlineLvl w:val="1"/>
    </w:pPr>
    <w:rPr>
      <w:rFonts w:asciiTheme="majorHAnsi" w:eastAsiaTheme="majorEastAsia" w:hAnsiTheme="majorHAnsi"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code">
    <w:name w:val="Compcode"/>
    <w:basedOn w:val="DefaultParagraphFont"/>
    <w:uiPriority w:val="1"/>
    <w:qFormat/>
    <w:rsid w:val="00112F97"/>
    <w:rPr>
      <w:rFonts w:ascii="Courier New" w:hAnsi="Courier New"/>
    </w:rPr>
  </w:style>
  <w:style w:type="character" w:customStyle="1" w:styleId="Heading2Char">
    <w:name w:val="Heading 2 Char"/>
    <w:basedOn w:val="DefaultParagraphFont"/>
    <w:link w:val="Heading2"/>
    <w:uiPriority w:val="9"/>
    <w:rsid w:val="001F00A0"/>
    <w:rPr>
      <w:rFonts w:asciiTheme="majorHAnsi" w:eastAsiaTheme="majorEastAsia" w:hAnsiTheme="majorHAnsi" w:cstheme="majorBidi"/>
      <w:i/>
      <w:sz w:val="26"/>
      <w:szCs w:val="26"/>
    </w:rPr>
  </w:style>
  <w:style w:type="table" w:styleId="TableGrid">
    <w:name w:val="Table Grid"/>
    <w:basedOn w:val="TableNormal"/>
    <w:uiPriority w:val="39"/>
    <w:rsid w:val="001F00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67FD"/>
    <w:rPr>
      <w:color w:val="808080"/>
    </w:rPr>
  </w:style>
  <w:style w:type="paragraph" w:styleId="ListParagraph">
    <w:name w:val="List Paragraph"/>
    <w:basedOn w:val="Normal"/>
    <w:uiPriority w:val="34"/>
    <w:qFormat/>
    <w:rsid w:val="005248F0"/>
    <w:pPr>
      <w:ind w:left="720"/>
      <w:contextualSpacing/>
    </w:pPr>
  </w:style>
  <w:style w:type="paragraph" w:styleId="BalloonText">
    <w:name w:val="Balloon Text"/>
    <w:basedOn w:val="Normal"/>
    <w:link w:val="BalloonTextChar"/>
    <w:uiPriority w:val="99"/>
    <w:semiHidden/>
    <w:unhideWhenUsed/>
    <w:rsid w:val="009D58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79"/>
    <w:rPr>
      <w:rFonts w:ascii="Segoe UI" w:hAnsi="Segoe UI" w:cs="Segoe UI"/>
      <w:sz w:val="18"/>
      <w:szCs w:val="18"/>
    </w:rPr>
  </w:style>
  <w:style w:type="table" w:customStyle="1" w:styleId="TableGrid1">
    <w:name w:val="Table Grid1"/>
    <w:basedOn w:val="TableNormal"/>
    <w:next w:val="TableGrid"/>
    <w:uiPriority w:val="39"/>
    <w:rsid w:val="00F364D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F0F1C"/>
  </w:style>
  <w:style w:type="character" w:customStyle="1" w:styleId="jrnl">
    <w:name w:val="jrnl"/>
    <w:basedOn w:val="DefaultParagraphFont"/>
    <w:rsid w:val="00081903"/>
  </w:style>
  <w:style w:type="paragraph" w:styleId="NormalWeb">
    <w:name w:val="Normal (Web)"/>
    <w:basedOn w:val="Normal"/>
    <w:uiPriority w:val="99"/>
    <w:semiHidden/>
    <w:unhideWhenUsed/>
    <w:rsid w:val="00BA36A7"/>
    <w:pPr>
      <w:spacing w:before="100" w:beforeAutospacing="1" w:after="100" w:afterAutospacing="1" w:line="240" w:lineRule="auto"/>
      <w:jc w:val="left"/>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0C5427"/>
    <w:rPr>
      <w:color w:val="0563C1" w:themeColor="hyperlink"/>
      <w:u w:val="single"/>
    </w:rPr>
  </w:style>
  <w:style w:type="character" w:styleId="FollowedHyperlink">
    <w:name w:val="FollowedHyperlink"/>
    <w:basedOn w:val="DefaultParagraphFont"/>
    <w:uiPriority w:val="99"/>
    <w:semiHidden/>
    <w:unhideWhenUsed/>
    <w:rsid w:val="000C5427"/>
    <w:rPr>
      <w:color w:val="954F72" w:themeColor="followedHyperlink"/>
      <w:u w:val="single"/>
    </w:rPr>
  </w:style>
  <w:style w:type="character" w:styleId="UnresolvedMention">
    <w:name w:val="Unresolved Mention"/>
    <w:basedOn w:val="DefaultParagraphFont"/>
    <w:uiPriority w:val="99"/>
    <w:semiHidden/>
    <w:unhideWhenUsed/>
    <w:rsid w:val="0027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244749">
      <w:bodyDiv w:val="1"/>
      <w:marLeft w:val="0"/>
      <w:marRight w:val="0"/>
      <w:marTop w:val="0"/>
      <w:marBottom w:val="0"/>
      <w:divBdr>
        <w:top w:val="none" w:sz="0" w:space="0" w:color="auto"/>
        <w:left w:val="none" w:sz="0" w:space="0" w:color="auto"/>
        <w:bottom w:val="none" w:sz="0" w:space="0" w:color="auto"/>
        <w:right w:val="none" w:sz="0" w:space="0" w:color="auto"/>
      </w:divBdr>
    </w:div>
    <w:div w:id="1359745299">
      <w:bodyDiv w:val="1"/>
      <w:marLeft w:val="0"/>
      <w:marRight w:val="0"/>
      <w:marTop w:val="0"/>
      <w:marBottom w:val="0"/>
      <w:divBdr>
        <w:top w:val="none" w:sz="0" w:space="0" w:color="auto"/>
        <w:left w:val="none" w:sz="0" w:space="0" w:color="auto"/>
        <w:bottom w:val="none" w:sz="0" w:space="0" w:color="auto"/>
        <w:right w:val="none" w:sz="0" w:space="0" w:color="auto"/>
      </w:divBdr>
    </w:div>
    <w:div w:id="13915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0257963"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conted.ox.ac.uk/about/msc-in-ebhc-medical-statistics" TargetMode="External"/><Relationship Id="rId7" Type="http://schemas.openxmlformats.org/officeDocument/2006/relationships/hyperlink" Target="https://bit.ly/2GCH5bp" TargetMode="External"/><Relationship Id="rId12" Type="http://schemas.openxmlformats.org/officeDocument/2006/relationships/hyperlink" Target="https://www.ncbi.nlm.nih.gov/pubmed/2021227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conted.ox.ac.uk/about/msc-in-evidence-based-health-car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cbi.nlm.nih.gov/pubmed/146547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journals.plos.org/plosone/article?id=10.1371/journal.pone.0126375" TargetMode="External"/><Relationship Id="rId19" Type="http://schemas.openxmlformats.org/officeDocument/2006/relationships/hyperlink" Target="https://www.conted.ox.ac.uk/courses/meta-analysis%3c/link" TargetMode="External"/><Relationship Id="rId4" Type="http://schemas.openxmlformats.org/officeDocument/2006/relationships/settings" Target="settings.xml"/><Relationship Id="rId9" Type="http://schemas.openxmlformats.org/officeDocument/2006/relationships/hyperlink" Target="https://www.ncbi.nlm.nih.gov/pubmed/15167445" TargetMode="External"/><Relationship Id="rId14" Type="http://schemas.openxmlformats.org/officeDocument/2006/relationships/image" Target="media/image3.png"/><Relationship Id="rId22" Type="http://schemas.openxmlformats.org/officeDocument/2006/relationships/hyperlink" Target="https://www.conted.ox.ac.uk/about/msc-in-ebhc-systematic-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26F9DD3-FA68-4C8E-9320-142677C9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Stevens</dc:creator>
  <cp:keywords/>
  <dc:description/>
  <cp:lastModifiedBy>Alice Crouch</cp:lastModifiedBy>
  <cp:revision>2</cp:revision>
  <cp:lastPrinted>2019-01-14T23:01:00Z</cp:lastPrinted>
  <dcterms:created xsi:type="dcterms:W3CDTF">2019-09-30T10:26:00Z</dcterms:created>
  <dcterms:modified xsi:type="dcterms:W3CDTF">2019-09-30T10:26:00Z</dcterms:modified>
</cp:coreProperties>
</file>