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66F" w:rsidRDefault="00FF25C5" w:rsidP="0026266F">
      <w:pPr>
        <w:rPr>
          <w:b/>
        </w:rPr>
      </w:pPr>
      <w:r>
        <w:rPr>
          <w:b/>
        </w:rPr>
        <w:t>Tip</w:t>
      </w:r>
      <w:r w:rsidR="00146BC3">
        <w:rPr>
          <w:b/>
        </w:rPr>
        <w:t xml:space="preserve"> for</w:t>
      </w:r>
      <w:r>
        <w:rPr>
          <w:b/>
        </w:rPr>
        <w:t xml:space="preserve"> d</w:t>
      </w:r>
      <w:r w:rsidR="00365A28">
        <w:rPr>
          <w:b/>
        </w:rPr>
        <w:t xml:space="preserve">ata extraction in </w:t>
      </w:r>
      <w:r w:rsidR="0026266F">
        <w:rPr>
          <w:b/>
        </w:rPr>
        <w:t>meta-analysis</w:t>
      </w:r>
      <w:r w:rsidR="00B0606A">
        <w:rPr>
          <w:b/>
        </w:rPr>
        <w:t xml:space="preserve"> </w:t>
      </w:r>
      <w:r>
        <w:rPr>
          <w:b/>
        </w:rPr>
        <w:t xml:space="preserve">- </w:t>
      </w:r>
      <w:r w:rsidR="00B0606A">
        <w:rPr>
          <w:b/>
        </w:rPr>
        <w:t>2</w:t>
      </w:r>
    </w:p>
    <w:p w:rsidR="00AC09BF" w:rsidRDefault="00AC09BF" w:rsidP="00AC09BF">
      <w:pPr>
        <w:jc w:val="center"/>
      </w:pPr>
      <w:r>
        <w:rPr>
          <w:noProof/>
          <w:lang w:eastAsia="zh-CN"/>
        </w:rPr>
        <w:drawing>
          <wp:inline distT="0" distB="0" distL="0" distR="0" wp14:anchorId="2560D1B2" wp14:editId="0E596CEA">
            <wp:extent cx="3483893" cy="1722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877" cy="17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1F4" w:rsidRPr="005F0403" w:rsidRDefault="008A0D8E" w:rsidP="008E61F4">
      <w:pPr>
        <w:rPr>
          <w:i/>
        </w:rPr>
      </w:pPr>
      <w:r>
        <w:rPr>
          <w:i/>
        </w:rPr>
        <w:t>What if the</w:t>
      </w:r>
      <w:r w:rsidR="008E61F4">
        <w:rPr>
          <w:i/>
        </w:rPr>
        <w:t xml:space="preserve"> prevalence </w:t>
      </w:r>
      <w:r>
        <w:rPr>
          <w:i/>
        </w:rPr>
        <w:t>is</w:t>
      </w:r>
      <w:r w:rsidR="008E61F4">
        <w:rPr>
          <w:i/>
        </w:rPr>
        <w:t xml:space="preserve"> </w:t>
      </w:r>
      <w:r w:rsidR="00743664">
        <w:rPr>
          <w:i/>
        </w:rPr>
        <w:t xml:space="preserve">also </w:t>
      </w:r>
      <w:r w:rsidR="008E61F4" w:rsidRPr="005F0403">
        <w:rPr>
          <w:i/>
        </w:rPr>
        <w:t xml:space="preserve">not reported? </w:t>
      </w:r>
    </w:p>
    <w:p w:rsidR="0060504A" w:rsidRDefault="0060504A" w:rsidP="0060504A"/>
    <w:p w:rsidR="0060504A" w:rsidRDefault="0060504A" w:rsidP="0060504A">
      <w:r>
        <w:t>Kathy Taylor</w:t>
      </w:r>
    </w:p>
    <w:p w:rsidR="0060504A" w:rsidRDefault="0060504A" w:rsidP="0060504A"/>
    <w:p w:rsidR="007F53C0" w:rsidRDefault="007A2275" w:rsidP="00564FC5">
      <w:r>
        <w:t xml:space="preserve">In </w:t>
      </w:r>
      <w:r w:rsidR="005E0003">
        <w:t xml:space="preserve">my </w:t>
      </w:r>
      <w:r w:rsidR="007D207C">
        <w:t>last</w:t>
      </w:r>
      <w:r w:rsidR="0062490C">
        <w:t xml:space="preserve"> </w:t>
      </w:r>
      <w:r>
        <w:t>pos</w:t>
      </w:r>
      <w:r w:rsidR="00AA1EF8">
        <w:t xml:space="preserve">t </w:t>
      </w:r>
      <w:hyperlink r:id="rId7" w:history="1">
        <w:r w:rsidR="00AA1EF8">
          <w:rPr>
            <w:rStyle w:val="Hyperlink"/>
            <w:rFonts w:ascii="Calibri" w:hAnsi="Calibri"/>
          </w:rPr>
          <w:t>https://bit.ly/2GCH5bp</w:t>
        </w:r>
      </w:hyperlink>
      <w:r w:rsidR="00AA1EF8">
        <w:rPr>
          <w:rFonts w:ascii="Calibri" w:hAnsi="Calibri"/>
          <w:color w:val="000000"/>
        </w:rPr>
        <w:t xml:space="preserve">, </w:t>
      </w:r>
      <w:r w:rsidR="004F55F7">
        <w:t>I</w:t>
      </w:r>
      <w:r w:rsidR="0062490C">
        <w:t xml:space="preserve"> </w:t>
      </w:r>
      <w:r w:rsidR="00564FC5">
        <w:t xml:space="preserve">showed some equations that </w:t>
      </w:r>
      <w:r w:rsidR="00F4305C">
        <w:t xml:space="preserve">you can use to </w:t>
      </w:r>
      <w:r w:rsidR="00564FC5">
        <w:t xml:space="preserve">construct </w:t>
      </w:r>
      <w:r w:rsidR="000979FA">
        <w:t xml:space="preserve">the 2x2 diagnostic accuracy classification table </w:t>
      </w:r>
      <w:r w:rsidR="00564FC5">
        <w:t xml:space="preserve">using the </w:t>
      </w:r>
      <w:r w:rsidR="000979FA">
        <w:t xml:space="preserve">reported </w:t>
      </w:r>
      <w:r w:rsidR="000979FA" w:rsidRPr="007A2275">
        <w:t>prevalence</w:t>
      </w:r>
      <w:r w:rsidR="000979FA">
        <w:t xml:space="preserve">, </w:t>
      </w:r>
      <w:r w:rsidR="000979FA" w:rsidRPr="007A2275">
        <w:t>study size</w:t>
      </w:r>
      <w:r w:rsidR="000979FA">
        <w:t xml:space="preserve">, </w:t>
      </w:r>
      <w:r w:rsidR="007F53C0" w:rsidRPr="007A2275">
        <w:t>sensitivity</w:t>
      </w:r>
      <w:r w:rsidR="000979FA">
        <w:t xml:space="preserve"> and</w:t>
      </w:r>
      <w:r w:rsidR="007F53C0" w:rsidRPr="007A2275">
        <w:t xml:space="preserve"> specificity</w:t>
      </w:r>
      <w:r w:rsidR="00575B21">
        <w:t xml:space="preserve">. </w:t>
      </w:r>
      <w:r w:rsidR="008E61F4">
        <w:t>S</w:t>
      </w:r>
      <w:r w:rsidR="006C70CF">
        <w:t xml:space="preserve">ometimes </w:t>
      </w:r>
      <w:r w:rsidR="00A06FE6">
        <w:t>the prevalence is only reported for the whole study and not for subgroups. Recall that the prevalence is</w:t>
      </w:r>
      <w:r w:rsidR="00750C6C">
        <w:t xml:space="preserve"> the proportion of those in the group of interest (whole study population or a subgroup)</w:t>
      </w:r>
      <w:r w:rsidR="00A06FE6">
        <w:t xml:space="preserve"> who have the disease. If the size of the</w:t>
      </w:r>
      <w:r w:rsidR="00750C6C">
        <w:t xml:space="preserve"> subgroup and the number in the subgroup who have the disease is know</w:t>
      </w:r>
      <w:r w:rsidR="000E7CD0">
        <w:t>n</w:t>
      </w:r>
      <w:r w:rsidR="00727DF4">
        <w:t>:</w:t>
      </w:r>
      <w:r w:rsidR="00A06FE6">
        <w:t xml:space="preserve"> </w:t>
      </w:r>
    </w:p>
    <w:p w:rsidR="008E61F4" w:rsidRDefault="008E61F4" w:rsidP="00564FC5"/>
    <w:p w:rsidR="00750C6C" w:rsidRPr="00756653" w:rsidRDefault="00750C6C" w:rsidP="00750C6C">
      <w:pPr>
        <w:jc w:val="center"/>
        <w:rPr>
          <w:szCs w:val="24"/>
          <w:lang w:eastAsia="en-GB"/>
        </w:rPr>
      </w:pPr>
      <m:oMathPara>
        <m:oMath>
          <m:r>
            <w:rPr>
              <w:rFonts w:ascii="Cambria Math" w:hAnsi="Cambria Math"/>
              <w:szCs w:val="24"/>
              <w:lang w:eastAsia="en-GB"/>
            </w:rPr>
            <m:t>Prevalence=</m:t>
          </m:r>
          <m:f>
            <m:fPr>
              <m:ctrlPr>
                <w:rPr>
                  <w:rFonts w:ascii="Cambria Math" w:hAnsi="Cambria Math"/>
                  <w:i/>
                  <w:szCs w:val="24"/>
                  <w:lang w:eastAsia="en-GB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eastAsia="en-GB"/>
                </w:rPr>
                <m:t>Number with the disease in the subgroup</m:t>
              </m:r>
            </m:num>
            <m:den>
              <m:r>
                <w:rPr>
                  <w:rFonts w:ascii="Cambria Math" w:hAnsi="Cambria Math"/>
                  <w:szCs w:val="24"/>
                  <w:lang w:eastAsia="en-GB"/>
                </w:rPr>
                <m:t>Total in the subgroup</m:t>
              </m:r>
            </m:den>
          </m:f>
        </m:oMath>
      </m:oMathPara>
    </w:p>
    <w:p w:rsidR="00750C6C" w:rsidRDefault="00750C6C" w:rsidP="008758B4"/>
    <w:p w:rsidR="00F0058A" w:rsidRDefault="00F0058A" w:rsidP="00F0058A">
      <w:r>
        <w:t xml:space="preserve">If the size of the subgroup and the number in the subgroup who have the disease are not known, the prevalence may </w:t>
      </w:r>
      <w:r w:rsidR="007D207C">
        <w:t xml:space="preserve">still </w:t>
      </w:r>
      <w:r>
        <w:t xml:space="preserve">be calculated </w:t>
      </w:r>
      <w:r w:rsidR="00F71562">
        <w:t xml:space="preserve">if the </w:t>
      </w:r>
      <w:r w:rsidRPr="00F0058A">
        <w:t xml:space="preserve">positive predictive value (PPV) </w:t>
      </w:r>
      <w:r>
        <w:t>or</w:t>
      </w:r>
      <w:r w:rsidRPr="00F0058A">
        <w:t xml:space="preserve"> the negative predictive value (NPV)</w:t>
      </w:r>
      <w:r w:rsidR="006C70CF">
        <w:t xml:space="preserve"> </w:t>
      </w:r>
      <w:r w:rsidR="00C43F20">
        <w:t xml:space="preserve">are provided </w:t>
      </w:r>
      <w:r w:rsidR="007D207C">
        <w:t>with the sensitivity and specificity</w:t>
      </w:r>
      <w:r w:rsidRPr="00F0058A">
        <w:t>. The PPV is the proportion of those who test disease-positive (1st row in Table</w:t>
      </w:r>
      <w:r w:rsidR="007D207C">
        <w:t xml:space="preserve"> given in my last post</w:t>
      </w:r>
      <w:r w:rsidRPr="00F0058A">
        <w:t xml:space="preserve">) who have the disease. The NPV is the proportion of those who test disease-negative (2nd row) who do not have the disease.  </w:t>
      </w:r>
      <w:r>
        <w:t>The PPV and NPV are often reported with the sensitivity and specificity.</w:t>
      </w:r>
    </w:p>
    <w:p w:rsidR="00564FC5" w:rsidRDefault="00564FC5" w:rsidP="008758B4"/>
    <w:p w:rsidR="008560A2" w:rsidRDefault="008560A2" w:rsidP="008758B4">
      <w:r>
        <w:t xml:space="preserve">A bit of maths (see below if </w:t>
      </w:r>
      <w:r w:rsidR="00470E5F">
        <w:t>you're interested) shows us</w:t>
      </w:r>
    </w:p>
    <w:p w:rsidR="00070996" w:rsidRDefault="00070996" w:rsidP="008758B4"/>
    <w:p w:rsidR="00F0058A" w:rsidRPr="00426391" w:rsidRDefault="00426391" w:rsidP="00F0058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Prevalence=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PPV 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1-Specificity</m:t>
                  </m:r>
                </m:e>
              </m:d>
              <m:r>
                <w:rPr>
                  <w:rFonts w:ascii="Cambria Math" w:hAnsi="Cambria Math"/>
                </w:rPr>
                <m:t xml:space="preserve">  </m:t>
              </m:r>
            </m:num>
            <m:den>
              <m:r>
                <w:rPr>
                  <w:rFonts w:ascii="Cambria Math" w:hAnsi="Cambria Math"/>
                </w:rPr>
                <m:t>Sensitivity 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1-PPV</m:t>
                  </m:r>
                </m:e>
              </m:d>
              <m:r>
                <w:rPr>
                  <w:rFonts w:ascii="Cambria Math" w:hAnsi="Cambria Math"/>
                </w:rPr>
                <m:t>+PPV×(1-Specificity)</m:t>
              </m:r>
            </m:den>
          </m:f>
        </m:oMath>
      </m:oMathPara>
    </w:p>
    <w:p w:rsidR="00F0058A" w:rsidRPr="00756653" w:rsidRDefault="00F0058A" w:rsidP="00F0058A">
      <w:pPr>
        <w:rPr>
          <w:rFonts w:eastAsiaTheme="minorEastAsia"/>
          <w:b/>
        </w:rPr>
      </w:pPr>
      <w:r>
        <w:rPr>
          <w:rFonts w:eastAsiaTheme="minorEastAsia"/>
        </w:rPr>
        <w:t>Or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Prevalence=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Specificity 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1-NPV</m:t>
                  </m:r>
                </m:e>
              </m:d>
              <m:r>
                <w:rPr>
                  <w:rFonts w:ascii="Cambria Math" w:hAnsi="Cambria Math"/>
                </w:rPr>
                <m:t xml:space="preserve">  </m:t>
              </m:r>
            </m:num>
            <m:den>
              <m:r>
                <w:rPr>
                  <w:rFonts w:ascii="Cambria Math" w:hAnsi="Cambria Math"/>
                </w:rPr>
                <m:t>NPV 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1-Sensitivity</m:t>
                  </m:r>
                </m:e>
              </m:d>
              <m:r>
                <w:rPr>
                  <w:rFonts w:ascii="Cambria Math" w:hAnsi="Cambria Math"/>
                </w:rPr>
                <m:t>+Specificity×(1-NPV)</m:t>
              </m:r>
            </m:den>
          </m:f>
        </m:oMath>
      </m:oMathPara>
    </w:p>
    <w:p w:rsidR="007A2275" w:rsidRDefault="007A2275" w:rsidP="008758B4"/>
    <w:p w:rsidR="00265C80" w:rsidRDefault="00F71562" w:rsidP="00265C80">
      <w:r>
        <w:t xml:space="preserve">You have to be </w:t>
      </w:r>
      <w:r w:rsidR="00507476">
        <w:t xml:space="preserve">very </w:t>
      </w:r>
      <w:r>
        <w:t>careful when doing calculations that use brackets</w:t>
      </w:r>
      <w:r w:rsidR="00FE2119">
        <w:t xml:space="preserve"> as it’s easy to overlook a bracket or put it in the wrong place</w:t>
      </w:r>
      <w:r w:rsidR="00DF4394">
        <w:t xml:space="preserve"> when you type up these equations in a </w:t>
      </w:r>
      <w:r w:rsidR="008E61F4">
        <w:t xml:space="preserve">calculator, </w:t>
      </w:r>
      <w:r w:rsidR="00DF4394">
        <w:t xml:space="preserve">spreadsheet </w:t>
      </w:r>
      <w:r w:rsidR="00DF4394">
        <w:lastRenderedPageBreak/>
        <w:t>or computer program</w:t>
      </w:r>
      <w:r w:rsidR="00FE2119">
        <w:t xml:space="preserve">. </w:t>
      </w:r>
      <w:r w:rsidR="00426391">
        <w:t>A</w:t>
      </w:r>
      <w:r w:rsidR="00097657">
        <w:t xml:space="preserve">lso note that </w:t>
      </w:r>
      <w:r w:rsidR="00265C80">
        <w:t>statistics</w:t>
      </w:r>
      <w:r w:rsidR="00564FC5">
        <w:t>,</w:t>
      </w:r>
      <w:r w:rsidR="00265C80">
        <w:t xml:space="preserve"> such as </w:t>
      </w:r>
      <w:r w:rsidR="00426391">
        <w:t>sensitivity</w:t>
      </w:r>
      <w:r w:rsidR="00564FC5">
        <w:t>,</w:t>
      </w:r>
      <w:r w:rsidR="00426391">
        <w:t xml:space="preserve"> </w:t>
      </w:r>
      <w:r w:rsidR="00265C80">
        <w:t xml:space="preserve">can be reported as percentages or as decimal fractions. We're assuming that </w:t>
      </w:r>
      <w:r w:rsidR="00097657">
        <w:t xml:space="preserve">all these statistics </w:t>
      </w:r>
      <w:r w:rsidR="00265C80">
        <w:t>are reported as fractions.</w:t>
      </w:r>
    </w:p>
    <w:p w:rsidR="00AE2912" w:rsidRDefault="00AE2912" w:rsidP="008758B4"/>
    <w:p w:rsidR="00EB69EF" w:rsidRDefault="00D21D1F" w:rsidP="00E17654">
      <w:r>
        <w:t>Let me show you an example</w:t>
      </w:r>
      <w:r w:rsidR="00564FC5">
        <w:t xml:space="preserve"> from a review that I</w:t>
      </w:r>
      <w:r w:rsidR="000754AA">
        <w:t>’</w:t>
      </w:r>
      <w:r w:rsidR="00564FC5">
        <w:t>m currently working on</w:t>
      </w:r>
      <w:r>
        <w:t xml:space="preserve">. </w:t>
      </w:r>
      <w:r w:rsidR="00E61B02">
        <w:t xml:space="preserve">In </w:t>
      </w:r>
      <w:r w:rsidR="004762A5">
        <w:t xml:space="preserve">a </w:t>
      </w:r>
      <w:hyperlink r:id="rId8" w:history="1">
        <w:r w:rsidR="004762A5" w:rsidRPr="004762A5">
          <w:rPr>
            <w:rStyle w:val="Hyperlink"/>
          </w:rPr>
          <w:t>study</w:t>
        </w:r>
      </w:hyperlink>
      <w:r w:rsidR="004762A5">
        <w:t xml:space="preserve"> </w:t>
      </w:r>
      <w:r w:rsidR="00E17654">
        <w:t>of the detection of asymptomatic left ventricular dysfunction</w:t>
      </w:r>
      <w:r w:rsidR="007D207C">
        <w:t xml:space="preserve">, </w:t>
      </w:r>
      <w:r w:rsidR="00E61B02">
        <w:t>using N-terminal pro-</w:t>
      </w:r>
      <w:bookmarkStart w:id="0" w:name="_GoBack"/>
      <w:bookmarkEnd w:id="0"/>
      <w:r w:rsidR="00E61B02">
        <w:t>brain natriuretic peptide</w:t>
      </w:r>
      <w:r w:rsidR="007D207C">
        <w:t>,</w:t>
      </w:r>
      <w:r w:rsidR="00E61B02">
        <w:t xml:space="preserve"> measured with </w:t>
      </w:r>
      <w:r w:rsidR="007D207C">
        <w:t xml:space="preserve">the </w:t>
      </w:r>
      <w:proofErr w:type="spellStart"/>
      <w:r w:rsidR="00CA2F69">
        <w:t>Elecsys</w:t>
      </w:r>
      <w:proofErr w:type="spellEnd"/>
      <w:r w:rsidR="00CA2F69">
        <w:t xml:space="preserve"> Modular E device</w:t>
      </w:r>
      <w:r w:rsidR="007D207C">
        <w:t>,</w:t>
      </w:r>
      <w:r w:rsidR="00E61B02">
        <w:t xml:space="preserve"> at a threshold of 125 </w:t>
      </w:r>
      <w:proofErr w:type="spellStart"/>
      <w:r w:rsidR="00E61B02">
        <w:t>pg</w:t>
      </w:r>
      <w:proofErr w:type="spellEnd"/>
      <w:r w:rsidR="00E61B02">
        <w:t>/mL</w:t>
      </w:r>
      <w:r w:rsidR="008B6B4E">
        <w:t xml:space="preserve"> and</w:t>
      </w:r>
      <w:r w:rsidR="00E61B02">
        <w:t xml:space="preserve"> compared </w:t>
      </w:r>
      <w:r w:rsidR="002F47FB">
        <w:t xml:space="preserve">to </w:t>
      </w:r>
      <w:r w:rsidR="009F3583">
        <w:t>echocardiography</w:t>
      </w:r>
      <w:r w:rsidR="00E61B02">
        <w:t xml:space="preserve">, </w:t>
      </w:r>
      <w:r w:rsidR="007D207C">
        <w:t xml:space="preserve">for males aged under 67 years, </w:t>
      </w:r>
      <w:r w:rsidR="00E61B02">
        <w:t>the sensitivity is reported at 85</w:t>
      </w:r>
      <w:r w:rsidR="00565955">
        <w:t>.7</w:t>
      </w:r>
      <w:r w:rsidR="00E61B02">
        <w:t xml:space="preserve">%, specificity at 92.9%, NPV at 99.5% and the PPV at 30.0%. </w:t>
      </w:r>
      <w:r w:rsidR="007D207C">
        <w:t xml:space="preserve">Prevalence is not reported for this subgroup </w:t>
      </w:r>
      <w:r w:rsidR="008B6B4E">
        <w:t xml:space="preserve">but it is reported that, in this subgroup, </w:t>
      </w:r>
      <w:r w:rsidR="00E61B02">
        <w:t>7 patients have diastolic dysfunction and 196 have normal left ventricular function.</w:t>
      </w:r>
      <w:r w:rsidR="00790595">
        <w:t xml:space="preserve"> Therefore,</w:t>
      </w:r>
    </w:p>
    <w:p w:rsidR="00B84483" w:rsidRDefault="00261547" w:rsidP="00E17654">
      <m:oMathPara>
        <m:oMath>
          <m:r>
            <w:rPr>
              <w:rFonts w:ascii="Cambria Math" w:hAnsi="Cambria Math"/>
            </w:rPr>
            <m:t>Total in the subgroup=7+196=203</m:t>
          </m:r>
        </m:oMath>
      </m:oMathPara>
    </w:p>
    <w:p w:rsidR="00E17654" w:rsidRDefault="00261547" w:rsidP="00261547">
      <w:pPr>
        <w:jc w:val="center"/>
      </w:pPr>
      <m:oMathPara>
        <m:oMath>
          <m:r>
            <w:rPr>
              <w:rFonts w:ascii="Cambria Math" w:hAnsi="Cambria Math"/>
            </w:rPr>
            <m:t>Prevalence=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203</m:t>
              </m:r>
            </m:den>
          </m:f>
          <m:r>
            <w:rPr>
              <w:rFonts w:ascii="Cambria Math" w:hAnsi="Cambria Math"/>
            </w:rPr>
            <m:t>=0.034 or 3.4%</m:t>
          </m:r>
        </m:oMath>
      </m:oMathPara>
    </w:p>
    <w:p w:rsidR="00E17654" w:rsidRDefault="00261547" w:rsidP="008758B4">
      <w:r>
        <w:t xml:space="preserve">We may also use the other equations to calculate the prevalence, perhaps to check that the </w:t>
      </w:r>
      <w:r w:rsidR="00486A5C">
        <w:t xml:space="preserve">all the </w:t>
      </w:r>
      <w:r>
        <w:t xml:space="preserve">data makes sense. </w:t>
      </w:r>
      <w:r w:rsidR="00486A5C">
        <w:t>First n</w:t>
      </w:r>
      <w:r>
        <w:t>ote that this study reports percentage inputs, so we first need to convert these to decimal fraction inputs by dividing the percentages by 100 (e.g. sensitivity of 8</w:t>
      </w:r>
      <w:r w:rsidR="00565955">
        <w:t>5.7</w:t>
      </w:r>
      <w:r>
        <w:t>% becomes 0.85</w:t>
      </w:r>
      <w:r w:rsidR="00565955">
        <w:t>7</w:t>
      </w:r>
      <w:r>
        <w:t>).</w:t>
      </w:r>
    </w:p>
    <w:p w:rsidR="00C43F20" w:rsidRPr="00015073" w:rsidRDefault="00C43F20" w:rsidP="008758B4">
      <w:pPr>
        <w:rPr>
          <w:sz w:val="20"/>
          <w:szCs w:val="20"/>
        </w:rPr>
      </w:pPr>
    </w:p>
    <w:p w:rsidR="00E17654" w:rsidRDefault="003B66C6" w:rsidP="008758B4">
      <w:r>
        <w:t>Using the PPV</w:t>
      </w:r>
    </w:p>
    <w:p w:rsidR="00486A5C" w:rsidRPr="00426391" w:rsidRDefault="00486A5C" w:rsidP="00486A5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Prevalence=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0.3 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1-0.929</m:t>
                  </m:r>
                </m:e>
              </m:d>
              <m:r>
                <w:rPr>
                  <w:rFonts w:ascii="Cambria Math" w:hAnsi="Cambria Math"/>
                </w:rPr>
                <m:t xml:space="preserve">  </m:t>
              </m:r>
            </m:num>
            <m:den>
              <m:r>
                <w:rPr>
                  <w:rFonts w:ascii="Cambria Math" w:hAnsi="Cambria Math"/>
                </w:rPr>
                <m:t>0.857 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1-0.3</m:t>
                  </m:r>
                </m:e>
              </m:d>
              <m:r>
                <w:rPr>
                  <w:rFonts w:ascii="Cambria Math" w:hAnsi="Cambria Math"/>
                </w:rPr>
                <m:t>+0.3×(1-0.929)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0.0213</m:t>
              </m:r>
            </m:num>
            <m:den>
              <m:r>
                <w:rPr>
                  <w:rFonts w:ascii="Cambria Math" w:hAnsi="Cambria Math"/>
                </w:rPr>
                <m:t>0.6338</m:t>
              </m:r>
            </m:den>
          </m:f>
          <m:r>
            <w:rPr>
              <w:rFonts w:ascii="Cambria Math" w:hAnsi="Cambria Math"/>
            </w:rPr>
            <m:t>=0.034 or 3.4%</m:t>
          </m:r>
        </m:oMath>
      </m:oMathPara>
    </w:p>
    <w:p w:rsidR="00E17654" w:rsidRDefault="003B66C6" w:rsidP="008758B4">
      <w:r>
        <w:t>Using the NPV</w:t>
      </w:r>
    </w:p>
    <w:p w:rsidR="003B66C6" w:rsidRDefault="003B66C6" w:rsidP="008758B4">
      <m:oMathPara>
        <m:oMath>
          <m:r>
            <w:rPr>
              <w:rFonts w:ascii="Cambria Math" w:hAnsi="Cambria Math"/>
            </w:rPr>
            <m:t>Prevalence=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0.929 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1-0.995</m:t>
                  </m:r>
                </m:e>
              </m:d>
              <m:r>
                <w:rPr>
                  <w:rFonts w:ascii="Cambria Math" w:hAnsi="Cambria Math"/>
                </w:rPr>
                <m:t xml:space="preserve">  </m:t>
              </m:r>
            </m:num>
            <m:den>
              <m:r>
                <w:rPr>
                  <w:rFonts w:ascii="Cambria Math" w:hAnsi="Cambria Math"/>
                </w:rPr>
                <m:t>0.995 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1-0.857</m:t>
                  </m:r>
                </m:e>
              </m:d>
              <m:r>
                <w:rPr>
                  <w:rFonts w:ascii="Cambria Math" w:hAnsi="Cambria Math"/>
                </w:rPr>
                <m:t>+0.929×(1-0.995)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0.004645</m:t>
              </m:r>
            </m:num>
            <m:den>
              <m:r>
                <w:rPr>
                  <w:rFonts w:ascii="Cambria Math" w:hAnsi="Cambria Math"/>
                </w:rPr>
                <m:t>0.14693</m:t>
              </m:r>
            </m:den>
          </m:f>
          <m:r>
            <w:rPr>
              <w:rFonts w:ascii="Cambria Math" w:hAnsi="Cambria Math"/>
            </w:rPr>
            <m:t>=0.032 or 3.2%</m:t>
          </m:r>
        </m:oMath>
      </m:oMathPara>
    </w:p>
    <w:p w:rsidR="00015073" w:rsidRDefault="00015073" w:rsidP="008758B4"/>
    <w:p w:rsidR="008560A2" w:rsidRDefault="00C43F20" w:rsidP="008758B4">
      <w:r>
        <w:t xml:space="preserve">The </w:t>
      </w:r>
      <w:r w:rsidR="008B6B4E">
        <w:t xml:space="preserve">slight </w:t>
      </w:r>
      <w:r>
        <w:t xml:space="preserve">differences arise from rounding errors. </w:t>
      </w:r>
    </w:p>
    <w:p w:rsidR="000C334C" w:rsidRDefault="000C334C" w:rsidP="00FF63E7">
      <w:r>
        <w:rPr>
          <w:rFonts w:ascii="Times New Roman" w:hAnsi="Times New Roman" w:cs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72390</wp:posOffset>
                </wp:positionV>
                <wp:extent cx="3139440" cy="2072640"/>
                <wp:effectExtent l="0" t="0" r="22860" b="22860"/>
                <wp:wrapNone/>
                <wp:docPr id="3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07264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34C" w:rsidRPr="005E0003" w:rsidRDefault="00C67FC2" w:rsidP="000C334C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Here’s a tip….</w:t>
                            </w:r>
                          </w:p>
                          <w:p w:rsidR="00A63D4F" w:rsidRDefault="00A63D4F" w:rsidP="000C33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3697A" w:rsidRDefault="00A63D4F" w:rsidP="000C33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prevalence may be calculated </w:t>
                            </w:r>
                          </w:p>
                          <w:p w:rsidR="00E3697A" w:rsidRDefault="00790595" w:rsidP="000C33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in </w:t>
                            </w:r>
                            <w:r w:rsidR="008B6B4E">
                              <w:rPr>
                                <w:color w:val="000000" w:themeColor="text1"/>
                              </w:rPr>
                              <w:t>several</w:t>
                            </w:r>
                            <w:r w:rsidR="00A63D4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different </w:t>
                            </w:r>
                            <w:r w:rsidR="00A63D4F">
                              <w:rPr>
                                <w:color w:val="000000" w:themeColor="text1"/>
                              </w:rPr>
                              <w:t xml:space="preserve">ways </w:t>
                            </w:r>
                            <w:r>
                              <w:rPr>
                                <w:color w:val="000000" w:themeColor="text1"/>
                              </w:rPr>
                              <w:t>using</w:t>
                            </w:r>
                            <w:r w:rsidR="00A63D4F">
                              <w:rPr>
                                <w:color w:val="000000" w:themeColor="text1"/>
                              </w:rPr>
                              <w:t xml:space="preserve"> other </w:t>
                            </w:r>
                          </w:p>
                          <w:p w:rsidR="000C334C" w:rsidRDefault="00A63D4F" w:rsidP="000C33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reported 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6" type="#_x0000_t97" style="position:absolute;left:0;text-align:left;margin-left:99.6pt;margin-top:5.7pt;width:247.2pt;height:1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" fillcolor="#f7caac [1301]" strokecolor="#1f4d78 [1604]" strokeweight="1pt">
                <v:stroke joinstyle="miter"/>
                <v:textbox>
                  <w:txbxContent>
                    <w:p w:rsidR="000C334C" w:rsidRPr="005E0003" w:rsidRDefault="00C67FC2" w:rsidP="000C334C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Here’s a tip….</w:t>
                      </w:r>
                    </w:p>
                    <w:p w:rsidR="00A63D4F" w:rsidRDefault="00A63D4F" w:rsidP="000C33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3697A" w:rsidRDefault="00A63D4F" w:rsidP="000C334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prevalence may be calculated </w:t>
                      </w:r>
                    </w:p>
                    <w:p w:rsidR="00E3697A" w:rsidRDefault="00790595" w:rsidP="000C334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in </w:t>
                      </w:r>
                      <w:r w:rsidR="008B6B4E">
                        <w:rPr>
                          <w:color w:val="000000" w:themeColor="text1"/>
                        </w:rPr>
                        <w:t>several</w:t>
                      </w:r>
                      <w:r w:rsidR="00A63D4F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different </w:t>
                      </w:r>
                      <w:r w:rsidR="00A63D4F">
                        <w:rPr>
                          <w:color w:val="000000" w:themeColor="text1"/>
                        </w:rPr>
                        <w:t xml:space="preserve">ways </w:t>
                      </w:r>
                      <w:r>
                        <w:rPr>
                          <w:color w:val="000000" w:themeColor="text1"/>
                        </w:rPr>
                        <w:t>using</w:t>
                      </w:r>
                      <w:r w:rsidR="00A63D4F">
                        <w:rPr>
                          <w:color w:val="000000" w:themeColor="text1"/>
                        </w:rPr>
                        <w:t xml:space="preserve"> other </w:t>
                      </w:r>
                    </w:p>
                    <w:p w:rsidR="000C334C" w:rsidRDefault="00A63D4F" w:rsidP="000C334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reported statistics</w:t>
                      </w:r>
                    </w:p>
                  </w:txbxContent>
                </v:textbox>
              </v:shape>
            </w:pict>
          </mc:Fallback>
        </mc:AlternateContent>
      </w:r>
    </w:p>
    <w:p w:rsidR="000C334C" w:rsidRDefault="000C334C" w:rsidP="00FF63E7"/>
    <w:p w:rsidR="000C334C" w:rsidRDefault="000C334C" w:rsidP="00FF63E7"/>
    <w:p w:rsidR="000C334C" w:rsidRDefault="000C334C" w:rsidP="00FF63E7"/>
    <w:p w:rsidR="000C334C" w:rsidRDefault="000C334C" w:rsidP="00FF63E7"/>
    <w:p w:rsidR="000C334C" w:rsidRDefault="000C334C" w:rsidP="00FF63E7"/>
    <w:p w:rsidR="000C334C" w:rsidRDefault="000C334C" w:rsidP="00FF63E7"/>
    <w:p w:rsidR="00FF63E7" w:rsidRDefault="00FF63E7" w:rsidP="00FF63E7"/>
    <w:p w:rsidR="000C334C" w:rsidRDefault="000C334C" w:rsidP="00FF63E7"/>
    <w:p w:rsidR="000C334C" w:rsidRDefault="000C334C" w:rsidP="00FF63E7"/>
    <w:p w:rsidR="00FF63E7" w:rsidRDefault="00FF63E7" w:rsidP="00FF63E7">
      <w:r>
        <w:t xml:space="preserve">In the </w:t>
      </w:r>
      <w:r w:rsidR="00507476">
        <w:t>next post</w:t>
      </w:r>
      <w:r>
        <w:t xml:space="preserve"> I’ll </w:t>
      </w:r>
      <w:r w:rsidR="00507476">
        <w:t xml:space="preserve">explain what you might do if </w:t>
      </w:r>
      <w:r w:rsidR="008B6B4E">
        <w:t>a</w:t>
      </w:r>
      <w:r w:rsidR="00837AFC">
        <w:t xml:space="preserve"> </w:t>
      </w:r>
      <w:r>
        <w:t xml:space="preserve">sensitivity or specificity </w:t>
      </w:r>
      <w:r w:rsidR="00837AFC">
        <w:t>is</w:t>
      </w:r>
      <w:r>
        <w:t xml:space="preserve"> not reported.  </w:t>
      </w:r>
    </w:p>
    <w:p w:rsidR="00FF63E7" w:rsidRDefault="00FF63E7" w:rsidP="00FF63E7">
      <w:pPr>
        <w:rPr>
          <w:b/>
        </w:rPr>
      </w:pPr>
    </w:p>
    <w:p w:rsidR="00D35AEB" w:rsidRDefault="00D35AEB" w:rsidP="00FF63E7">
      <w:pPr>
        <w:rPr>
          <w:b/>
        </w:rPr>
      </w:pPr>
    </w:p>
    <w:p w:rsidR="0018165F" w:rsidRDefault="00645A90" w:rsidP="0018165F">
      <w:pPr>
        <w:pStyle w:val="Heading2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-140970</wp:posOffset>
                </wp:positionH>
                <wp:positionV relativeFrom="paragraph">
                  <wp:posOffset>156210</wp:posOffset>
                </wp:positionV>
                <wp:extent cx="5913120" cy="70180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7018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FA640" id="Rectangle 1" o:spid="_x0000_s1026" style="position:absolute;margin-left:-11.1pt;margin-top:12.3pt;width:465.6pt;height:55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1F00A0" w:rsidRPr="001F00A0" w:rsidRDefault="001F00A0" w:rsidP="0018165F">
      <w:pPr>
        <w:pStyle w:val="Heading2"/>
      </w:pPr>
      <w:r>
        <w:t>Where d</w:t>
      </w:r>
      <w:r w:rsidR="00DA2097">
        <w:t>id</w:t>
      </w:r>
      <w:r>
        <w:t xml:space="preserve"> </w:t>
      </w:r>
      <w:r w:rsidR="008B5F09">
        <w:t>the</w:t>
      </w:r>
      <w:r>
        <w:t xml:space="preserve"> </w:t>
      </w:r>
      <w:r w:rsidR="005248F0">
        <w:t>equations</w:t>
      </w:r>
      <w:r>
        <w:t xml:space="preserve"> come from?  </w:t>
      </w:r>
    </w:p>
    <w:p w:rsidR="001F00A0" w:rsidRDefault="001F00A0" w:rsidP="0051584E">
      <w:pPr>
        <w:rPr>
          <w:sz w:val="20"/>
          <w:szCs w:val="20"/>
        </w:rPr>
      </w:pPr>
      <w:r w:rsidRPr="00D21D1F">
        <w:rPr>
          <w:sz w:val="20"/>
          <w:szCs w:val="20"/>
        </w:rPr>
        <w:t>(</w:t>
      </w:r>
      <w:r w:rsidR="00AE2912" w:rsidRPr="00D21D1F">
        <w:rPr>
          <w:sz w:val="20"/>
          <w:szCs w:val="20"/>
        </w:rPr>
        <w:t xml:space="preserve">You can skip this </w:t>
      </w:r>
      <w:r w:rsidRPr="00D21D1F">
        <w:rPr>
          <w:sz w:val="20"/>
          <w:szCs w:val="20"/>
        </w:rPr>
        <w:t>if you are only interested in carrying out the calculations)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1198B" w:rsidTr="00FB7FD5">
        <w:tc>
          <w:tcPr>
            <w:tcW w:w="9638" w:type="dxa"/>
          </w:tcPr>
          <w:p w:rsidR="0071198B" w:rsidRDefault="0071198B" w:rsidP="00735FC2">
            <w:pPr>
              <w:spacing w:after="160" w:line="259" w:lineRule="auto"/>
              <w:jc w:val="left"/>
            </w:pPr>
          </w:p>
        </w:tc>
      </w:tr>
      <w:tr w:rsidR="0018165F" w:rsidTr="00FB7FD5">
        <w:tc>
          <w:tcPr>
            <w:tcW w:w="9638" w:type="dxa"/>
          </w:tcPr>
          <w:p w:rsidR="0018165F" w:rsidRDefault="005E0003" w:rsidP="005158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t xml:space="preserve">Previously </w:t>
            </w:r>
            <w:hyperlink r:id="rId9" w:history="1">
              <w:r w:rsidR="00B77DCA">
                <w:rPr>
                  <w:rStyle w:val="Hyperlink"/>
                  <w:rFonts w:ascii="Calibri" w:hAnsi="Calibri"/>
                </w:rPr>
                <w:t>https://bit.ly/2GCH5bp</w:t>
              </w:r>
            </w:hyperlink>
            <w:r w:rsidR="00B77DCA">
              <w:rPr>
                <w:rFonts w:ascii="Calibri" w:hAnsi="Calibri"/>
                <w:color w:val="000000"/>
              </w:rPr>
              <w:t xml:space="preserve">, </w:t>
            </w:r>
            <w:r w:rsidR="0018165F">
              <w:t>I showed the following equations</w:t>
            </w:r>
          </w:p>
        </w:tc>
      </w:tr>
      <w:tr w:rsidR="00A323C9" w:rsidTr="00B77DCA">
        <w:tc>
          <w:tcPr>
            <w:tcW w:w="9638" w:type="dxa"/>
            <w:tcBorders>
              <w:bottom w:val="single" w:sz="4" w:space="0" w:color="auto"/>
            </w:tcBorders>
          </w:tcPr>
          <w:p w:rsidR="00A323C9" w:rsidRPr="00B77DCA" w:rsidRDefault="00A323C9" w:rsidP="005158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TP=Sensitivity ×Prevalence ×Total  </m:t>
                </m:r>
              </m:oMath>
            </m:oMathPara>
          </w:p>
          <w:p w:rsidR="00B77DCA" w:rsidRPr="00A323C9" w:rsidRDefault="00B77DCA" w:rsidP="0051584E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FN=Prevalence ×Total 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1-Sensitivity</m:t>
                    </m:r>
                  </m:e>
                </m:d>
              </m:oMath>
            </m:oMathPara>
          </w:p>
          <w:p w:rsidR="00B77DCA" w:rsidRPr="00A323C9" w:rsidRDefault="00B77DCA" w:rsidP="0051584E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TN=Specificity ×Total 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1-Prevalence</m:t>
                    </m:r>
                  </m:e>
                </m:d>
              </m:oMath>
            </m:oMathPara>
          </w:p>
          <w:p w:rsidR="00B77DCA" w:rsidRDefault="00B77DCA" w:rsidP="005158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FP=Total 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1-Prevalence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1-Specificity</m:t>
                    </m:r>
                  </m:e>
                </m:d>
              </m:oMath>
            </m:oMathPara>
          </w:p>
          <w:p w:rsidR="006344F0" w:rsidRDefault="006344F0" w:rsidP="0051584E">
            <w:pPr>
              <w:rPr>
                <w:szCs w:val="24"/>
              </w:rPr>
            </w:pPr>
            <w:r>
              <w:rPr>
                <w:szCs w:val="24"/>
              </w:rPr>
              <w:t>I stated above that t</w:t>
            </w:r>
            <w:r w:rsidR="00735FC2" w:rsidRPr="00735FC2">
              <w:rPr>
                <w:szCs w:val="24"/>
              </w:rPr>
              <w:t xml:space="preserve">he PPV is the proportion of those who test disease-positive </w:t>
            </w:r>
          </w:p>
          <w:p w:rsidR="00B77DCA" w:rsidRPr="00735FC2" w:rsidRDefault="00735FC2" w:rsidP="0051584E">
            <w:pPr>
              <w:rPr>
                <w:rFonts w:ascii="Calibri" w:eastAsia="Calibri" w:hAnsi="Calibri" w:cs="Times New Roman"/>
                <w:szCs w:val="24"/>
              </w:rPr>
            </w:pPr>
            <w:r w:rsidRPr="00735FC2">
              <w:rPr>
                <w:szCs w:val="24"/>
              </w:rPr>
              <w:t>(1st row</w:t>
            </w:r>
            <w:r>
              <w:rPr>
                <w:szCs w:val="24"/>
              </w:rPr>
              <w:t xml:space="preserve"> in Table given</w:t>
            </w:r>
            <w:r w:rsidR="006344F0">
              <w:rPr>
                <w:szCs w:val="24"/>
              </w:rPr>
              <w:t xml:space="preserve"> </w:t>
            </w:r>
            <w:r>
              <w:rPr>
                <w:szCs w:val="24"/>
              </w:rPr>
              <w:t>previously</w:t>
            </w:r>
            <w:r w:rsidRPr="00735FC2">
              <w:rPr>
                <w:szCs w:val="24"/>
              </w:rPr>
              <w:t>) who have the disease</w:t>
            </w:r>
            <w:r>
              <w:rPr>
                <w:szCs w:val="24"/>
              </w:rPr>
              <w:t xml:space="preserve"> i.e.</w:t>
            </w:r>
            <w:r w:rsidRPr="00735FC2">
              <w:rPr>
                <w:szCs w:val="24"/>
              </w:rPr>
              <w:t xml:space="preserve"> </w:t>
            </w:r>
          </w:p>
          <w:p w:rsidR="00735FC2" w:rsidRDefault="00735FC2" w:rsidP="005158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PPV=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TP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TP+FP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(equation 1)</m:t>
                </m:r>
              </m:oMath>
            </m:oMathPara>
          </w:p>
          <w:p w:rsidR="006344F0" w:rsidRDefault="006344F0" w:rsidP="0051584E">
            <w:pPr>
              <w:rPr>
                <w:szCs w:val="24"/>
              </w:rPr>
            </w:pPr>
            <w:r>
              <w:rPr>
                <w:szCs w:val="24"/>
              </w:rPr>
              <w:t>and the</w:t>
            </w:r>
            <w:r w:rsidR="00735FC2" w:rsidRPr="00735FC2">
              <w:rPr>
                <w:szCs w:val="24"/>
              </w:rPr>
              <w:t xml:space="preserve"> NPV is the proportion of those who test disease-negative (2nd row) who do not </w:t>
            </w:r>
          </w:p>
          <w:p w:rsidR="00735FC2" w:rsidRDefault="00735FC2" w:rsidP="005158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5FC2">
              <w:rPr>
                <w:szCs w:val="24"/>
              </w:rPr>
              <w:t xml:space="preserve">have the disease.  </w:t>
            </w:r>
          </w:p>
          <w:p w:rsidR="006344F0" w:rsidRDefault="00735FC2" w:rsidP="0051584E">
            <w:pPr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NPV=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TN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TN+FN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equation 2)</m:t>
                </m:r>
              </m:oMath>
            </m:oMathPara>
          </w:p>
          <w:p w:rsidR="0051584E" w:rsidRDefault="0051584E" w:rsidP="0051584E">
            <w:pPr>
              <w:rPr>
                <w:szCs w:val="24"/>
              </w:rPr>
            </w:pPr>
            <w:r w:rsidRPr="00FB7FD5">
              <w:rPr>
                <w:szCs w:val="24"/>
              </w:rPr>
              <w:t>To calculate prevalence using the PPV</w:t>
            </w:r>
          </w:p>
          <w:p w:rsidR="0051584E" w:rsidRDefault="0051584E" w:rsidP="0051584E">
            <w:pPr>
              <w:rPr>
                <w:szCs w:val="24"/>
              </w:rPr>
            </w:pPr>
          </w:p>
          <w:p w:rsidR="0051584E" w:rsidRDefault="0051584E" w:rsidP="0051584E">
            <w:pPr>
              <w:rPr>
                <w:sz w:val="20"/>
                <w:szCs w:val="20"/>
              </w:rPr>
            </w:pPr>
            <w:r w:rsidRPr="009D123E">
              <w:rPr>
                <w:sz w:val="20"/>
                <w:szCs w:val="20"/>
              </w:rPr>
              <w:t>Substitute for TP and FP in equation 1</w:t>
            </w:r>
          </w:p>
          <w:p w:rsidR="0051584E" w:rsidRPr="00426391" w:rsidRDefault="0051584E" w:rsidP="0051584E"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PPV=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Sensitivity ×Prevalence ×Total  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Sensitivity ×Prevalence ×Total+Total×(1-Prevalence)×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1-Specificity</m:t>
                        </m:r>
                      </m:e>
                    </m:d>
                  </m:den>
                </m:f>
              </m:oMath>
            </m:oMathPara>
          </w:p>
          <w:p w:rsidR="0051584E" w:rsidRDefault="0051584E" w:rsidP="0051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Cancel out Total and rearrange</w:t>
            </w:r>
          </w:p>
          <w:p w:rsidR="0051584E" w:rsidRDefault="0051584E" w:rsidP="0051584E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Prevalence=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PPV 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1-Specificity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 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Sensitivity 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1-PPV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+PPV×(1-Specificity)</m:t>
                    </m:r>
                  </m:den>
                </m:f>
              </m:oMath>
            </m:oMathPara>
          </w:p>
          <w:p w:rsidR="0051584E" w:rsidRDefault="0051584E" w:rsidP="0051584E">
            <w:pPr>
              <w:rPr>
                <w:sz w:val="20"/>
                <w:szCs w:val="20"/>
              </w:rPr>
            </w:pPr>
          </w:p>
          <w:p w:rsidR="0051584E" w:rsidRDefault="0051584E" w:rsidP="0051584E">
            <w:pPr>
              <w:rPr>
                <w:szCs w:val="24"/>
              </w:rPr>
            </w:pPr>
            <w:r w:rsidRPr="00FB7FD5">
              <w:rPr>
                <w:szCs w:val="24"/>
              </w:rPr>
              <w:t xml:space="preserve">To calculate prevalence using the </w:t>
            </w:r>
            <w:r>
              <w:rPr>
                <w:szCs w:val="24"/>
              </w:rPr>
              <w:t>NPV</w:t>
            </w:r>
          </w:p>
          <w:p w:rsidR="0051584E" w:rsidRDefault="0051584E" w:rsidP="0051584E">
            <w:pPr>
              <w:rPr>
                <w:sz w:val="20"/>
                <w:szCs w:val="20"/>
              </w:rPr>
            </w:pPr>
          </w:p>
          <w:p w:rsidR="0051584E" w:rsidRDefault="0051584E" w:rsidP="0051584E">
            <w:pPr>
              <w:jc w:val="left"/>
              <w:rPr>
                <w:sz w:val="20"/>
                <w:szCs w:val="20"/>
              </w:rPr>
            </w:pPr>
            <w:r w:rsidRPr="009D123E">
              <w:rPr>
                <w:sz w:val="20"/>
                <w:szCs w:val="20"/>
              </w:rPr>
              <w:t>Substitute for T</w:t>
            </w:r>
            <w:r>
              <w:rPr>
                <w:sz w:val="20"/>
                <w:szCs w:val="20"/>
              </w:rPr>
              <w:t>N</w:t>
            </w:r>
            <w:r w:rsidRPr="009D123E">
              <w:rPr>
                <w:sz w:val="20"/>
                <w:szCs w:val="20"/>
              </w:rPr>
              <w:t xml:space="preserve"> and F</w:t>
            </w:r>
            <w:r>
              <w:rPr>
                <w:sz w:val="20"/>
                <w:szCs w:val="20"/>
              </w:rPr>
              <w:t>N</w:t>
            </w:r>
            <w:r w:rsidRPr="009D123E">
              <w:rPr>
                <w:sz w:val="20"/>
                <w:szCs w:val="20"/>
              </w:rPr>
              <w:t xml:space="preserve"> in equation </w:t>
            </w:r>
            <w:r>
              <w:rPr>
                <w:sz w:val="20"/>
                <w:szCs w:val="20"/>
              </w:rPr>
              <w:t>2</w:t>
            </w:r>
          </w:p>
          <w:p w:rsidR="0051584E" w:rsidRPr="00426391" w:rsidRDefault="0051584E" w:rsidP="0051584E"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NPV=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Specificity ×Total 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1-Prevalence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 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Sensitivity ×Total×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1-Prevalence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+Prevalence)×Total 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1-Specificity</m:t>
                        </m:r>
                      </m:e>
                    </m:d>
                  </m:den>
                </m:f>
              </m:oMath>
            </m:oMathPara>
          </w:p>
          <w:p w:rsidR="0051584E" w:rsidRDefault="0051584E" w:rsidP="0051584E">
            <w:pPr>
              <w:rPr>
                <w:sz w:val="20"/>
                <w:szCs w:val="20"/>
              </w:rPr>
            </w:pPr>
          </w:p>
          <w:p w:rsidR="0051584E" w:rsidRDefault="0051584E" w:rsidP="0051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Cancel out Total and rearrange</w:t>
            </w:r>
          </w:p>
          <w:p w:rsidR="0051584E" w:rsidRDefault="0051584E" w:rsidP="0051584E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Prevalence=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Specificity 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1-NPV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 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NPV 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1-Sensitivity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+Specificity×(1-NPV)</m:t>
                    </m:r>
                  </m:den>
                </m:f>
              </m:oMath>
            </m:oMathPara>
          </w:p>
          <w:p w:rsidR="0051584E" w:rsidRDefault="0051584E" w:rsidP="0051584E"/>
          <w:p w:rsidR="00B77DCA" w:rsidRDefault="00B77DCA" w:rsidP="005158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584E" w:rsidRDefault="0051584E" w:rsidP="0051584E">
            <w:pPr>
              <w:jc w:val="left"/>
              <w:rPr>
                <w:b/>
              </w:rPr>
            </w:pPr>
            <w:r>
              <w:rPr>
                <w:b/>
              </w:rPr>
              <w:t xml:space="preserve">Dr Kathy Taylor teaches data extraction in Meta-analysis, </w:t>
            </w:r>
            <w:hyperlink r:id="rId10" w:history="1">
              <w:r w:rsidRPr="00444C0C">
                <w:rPr>
                  <w:rStyle w:val="Hyperlink"/>
                  <w:b/>
                </w:rPr>
                <w:t>https://www.conted.ox.ac.uk/courses/meta-analysis&lt;/link</w:t>
              </w:r>
            </w:hyperlink>
            <w:r>
              <w:rPr>
                <w:b/>
              </w:rPr>
              <w:t xml:space="preserve">&gt; This is a short course that is also available as part of our MSc in Evidence-Based Health Care </w:t>
            </w:r>
          </w:p>
          <w:p w:rsidR="0051584E" w:rsidRDefault="000B582A" w:rsidP="0051584E">
            <w:pPr>
              <w:jc w:val="left"/>
              <w:rPr>
                <w:b/>
              </w:rPr>
            </w:pPr>
            <w:hyperlink r:id="rId11" w:history="1">
              <w:r w:rsidR="0051584E" w:rsidRPr="00444C0C">
                <w:rPr>
                  <w:rStyle w:val="Hyperlink"/>
                  <w:b/>
                </w:rPr>
                <w:t>https://www.conted.ox.ac.uk/about/msc-in-evidence-based-health-care</w:t>
              </w:r>
            </w:hyperlink>
            <w:r w:rsidR="0051584E">
              <w:rPr>
                <w:b/>
              </w:rPr>
              <w:t xml:space="preserve">, MSc in Medical Statistics </w:t>
            </w:r>
          </w:p>
          <w:p w:rsidR="0051584E" w:rsidRDefault="000B582A" w:rsidP="0051584E">
            <w:pPr>
              <w:jc w:val="left"/>
              <w:rPr>
                <w:b/>
              </w:rPr>
            </w:pPr>
            <w:hyperlink r:id="rId12" w:history="1">
              <w:r w:rsidR="0051584E" w:rsidRPr="00444C0C">
                <w:rPr>
                  <w:rStyle w:val="Hyperlink"/>
                  <w:b/>
                </w:rPr>
                <w:t>https://www.conted.ox.ac.uk/about/msc-in-ebhc-medical-statistics</w:t>
              </w:r>
            </w:hyperlink>
            <w:r w:rsidR="0051584E">
              <w:rPr>
                <w:b/>
              </w:rPr>
              <w:t xml:space="preserve">, and MSc in Systematic Reviews </w:t>
            </w:r>
          </w:p>
          <w:p w:rsidR="006344F0" w:rsidRDefault="006344F0" w:rsidP="0051584E">
            <w:pPr>
              <w:jc w:val="left"/>
              <w:rPr>
                <w:b/>
              </w:rPr>
            </w:pPr>
          </w:p>
          <w:p w:rsidR="006344F0" w:rsidRDefault="006344F0" w:rsidP="0051584E">
            <w:pPr>
              <w:jc w:val="left"/>
              <w:rPr>
                <w:b/>
              </w:rPr>
            </w:pPr>
          </w:p>
          <w:p w:rsidR="0051584E" w:rsidRDefault="000B582A" w:rsidP="0051584E">
            <w:pPr>
              <w:jc w:val="left"/>
              <w:rPr>
                <w:b/>
              </w:rPr>
            </w:pPr>
            <w:hyperlink r:id="rId13" w:history="1">
              <w:r w:rsidR="0051584E" w:rsidRPr="00444C0C">
                <w:rPr>
                  <w:rStyle w:val="Hyperlink"/>
                  <w:b/>
                </w:rPr>
                <w:t>https://www.conted.ox.ac.uk/about/msc-in-ebhc-systematic-reviews</w:t>
              </w:r>
            </w:hyperlink>
          </w:p>
          <w:p w:rsidR="0051584E" w:rsidRDefault="0051584E" w:rsidP="0051584E">
            <w:pPr>
              <w:rPr>
                <w:b/>
              </w:rPr>
            </w:pPr>
          </w:p>
          <w:p w:rsidR="00B77DCA" w:rsidRPr="0051584E" w:rsidRDefault="0051584E" w:rsidP="005158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584E">
              <w:rPr>
                <w:b/>
              </w:rPr>
              <w:t>Follow updates on this blog and related news on Twitter @</w:t>
            </w:r>
            <w:proofErr w:type="spellStart"/>
            <w:r w:rsidRPr="0051584E">
              <w:rPr>
                <w:b/>
              </w:rPr>
              <w:t>dataextips</w:t>
            </w:r>
            <w:proofErr w:type="spellEnd"/>
          </w:p>
        </w:tc>
      </w:tr>
    </w:tbl>
    <w:p w:rsidR="00FB7FD5" w:rsidRPr="00FB7FD5" w:rsidRDefault="00FB7FD5" w:rsidP="00FB7FD5">
      <w:pPr>
        <w:rPr>
          <w:szCs w:val="24"/>
        </w:rPr>
      </w:pPr>
    </w:p>
    <w:sectPr w:rsidR="00FB7FD5" w:rsidRPr="00FB7FD5" w:rsidSect="00E714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958F7"/>
    <w:multiLevelType w:val="hybridMultilevel"/>
    <w:tmpl w:val="76924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E0B52"/>
    <w:multiLevelType w:val="hybridMultilevel"/>
    <w:tmpl w:val="0C6E2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0"/>
    <w:rsid w:val="00015073"/>
    <w:rsid w:val="00017D2F"/>
    <w:rsid w:val="00070996"/>
    <w:rsid w:val="000754AA"/>
    <w:rsid w:val="00097657"/>
    <w:rsid w:val="000979FA"/>
    <w:rsid w:val="000A0373"/>
    <w:rsid w:val="000A3505"/>
    <w:rsid w:val="000A72C7"/>
    <w:rsid w:val="000A735E"/>
    <w:rsid w:val="000B582A"/>
    <w:rsid w:val="000C128F"/>
    <w:rsid w:val="000C334C"/>
    <w:rsid w:val="000D4E91"/>
    <w:rsid w:val="000E0364"/>
    <w:rsid w:val="000E7CD0"/>
    <w:rsid w:val="00101493"/>
    <w:rsid w:val="0011090E"/>
    <w:rsid w:val="00112F97"/>
    <w:rsid w:val="001217F1"/>
    <w:rsid w:val="0012493E"/>
    <w:rsid w:val="00146BC3"/>
    <w:rsid w:val="001475B0"/>
    <w:rsid w:val="00155DBC"/>
    <w:rsid w:val="0018165F"/>
    <w:rsid w:val="00197F74"/>
    <w:rsid w:val="001D2705"/>
    <w:rsid w:val="001F00A0"/>
    <w:rsid w:val="001F7534"/>
    <w:rsid w:val="0020157D"/>
    <w:rsid w:val="00226CC2"/>
    <w:rsid w:val="0022771E"/>
    <w:rsid w:val="00261547"/>
    <w:rsid w:val="0026266F"/>
    <w:rsid w:val="00264393"/>
    <w:rsid w:val="00265C80"/>
    <w:rsid w:val="00287C64"/>
    <w:rsid w:val="002922C3"/>
    <w:rsid w:val="00296359"/>
    <w:rsid w:val="002B6C00"/>
    <w:rsid w:val="002C7B1F"/>
    <w:rsid w:val="002D5228"/>
    <w:rsid w:val="002F47FB"/>
    <w:rsid w:val="00305F0E"/>
    <w:rsid w:val="003172BC"/>
    <w:rsid w:val="00331DBD"/>
    <w:rsid w:val="0034347B"/>
    <w:rsid w:val="00365A28"/>
    <w:rsid w:val="0037154F"/>
    <w:rsid w:val="00396E82"/>
    <w:rsid w:val="003B66C6"/>
    <w:rsid w:val="003B767F"/>
    <w:rsid w:val="003D5A94"/>
    <w:rsid w:val="00402452"/>
    <w:rsid w:val="00426391"/>
    <w:rsid w:val="00430366"/>
    <w:rsid w:val="00455569"/>
    <w:rsid w:val="00470E5F"/>
    <w:rsid w:val="004762A5"/>
    <w:rsid w:val="00477C8B"/>
    <w:rsid w:val="00486A5C"/>
    <w:rsid w:val="004943ED"/>
    <w:rsid w:val="004B6831"/>
    <w:rsid w:val="004D561C"/>
    <w:rsid w:val="004E0CBB"/>
    <w:rsid w:val="004F55F7"/>
    <w:rsid w:val="00507476"/>
    <w:rsid w:val="0051584E"/>
    <w:rsid w:val="005248F0"/>
    <w:rsid w:val="005267FD"/>
    <w:rsid w:val="00531D51"/>
    <w:rsid w:val="00564FC5"/>
    <w:rsid w:val="00565955"/>
    <w:rsid w:val="0056698F"/>
    <w:rsid w:val="00571257"/>
    <w:rsid w:val="00575B21"/>
    <w:rsid w:val="0059771F"/>
    <w:rsid w:val="005979A9"/>
    <w:rsid w:val="005C4541"/>
    <w:rsid w:val="005E0003"/>
    <w:rsid w:val="0060504A"/>
    <w:rsid w:val="006129C9"/>
    <w:rsid w:val="0062490C"/>
    <w:rsid w:val="0063042C"/>
    <w:rsid w:val="006344F0"/>
    <w:rsid w:val="00642DE8"/>
    <w:rsid w:val="00645A90"/>
    <w:rsid w:val="00647584"/>
    <w:rsid w:val="006B101B"/>
    <w:rsid w:val="006C70CF"/>
    <w:rsid w:val="0071198B"/>
    <w:rsid w:val="00724F00"/>
    <w:rsid w:val="00727DF4"/>
    <w:rsid w:val="00735FC2"/>
    <w:rsid w:val="00743664"/>
    <w:rsid w:val="00750C6C"/>
    <w:rsid w:val="00756D78"/>
    <w:rsid w:val="00790595"/>
    <w:rsid w:val="007A2275"/>
    <w:rsid w:val="007D207C"/>
    <w:rsid w:val="007F263A"/>
    <w:rsid w:val="007F53C0"/>
    <w:rsid w:val="0083438C"/>
    <w:rsid w:val="00837AFC"/>
    <w:rsid w:val="00851336"/>
    <w:rsid w:val="008560A2"/>
    <w:rsid w:val="008758B4"/>
    <w:rsid w:val="0088688E"/>
    <w:rsid w:val="008930F4"/>
    <w:rsid w:val="008A0D8E"/>
    <w:rsid w:val="008B5F09"/>
    <w:rsid w:val="008B6B4E"/>
    <w:rsid w:val="008E2FCA"/>
    <w:rsid w:val="008E61F4"/>
    <w:rsid w:val="00917C3B"/>
    <w:rsid w:val="00930913"/>
    <w:rsid w:val="009774F0"/>
    <w:rsid w:val="00982C01"/>
    <w:rsid w:val="009B6F66"/>
    <w:rsid w:val="009C0E5C"/>
    <w:rsid w:val="009D123E"/>
    <w:rsid w:val="009D5879"/>
    <w:rsid w:val="009D68EC"/>
    <w:rsid w:val="009F3583"/>
    <w:rsid w:val="00A06FE6"/>
    <w:rsid w:val="00A323C9"/>
    <w:rsid w:val="00A40425"/>
    <w:rsid w:val="00A63D4F"/>
    <w:rsid w:val="00A818EB"/>
    <w:rsid w:val="00A97F28"/>
    <w:rsid w:val="00AA1EF8"/>
    <w:rsid w:val="00AC09BF"/>
    <w:rsid w:val="00AD37BC"/>
    <w:rsid w:val="00AE2912"/>
    <w:rsid w:val="00B0606A"/>
    <w:rsid w:val="00B749EC"/>
    <w:rsid w:val="00B77DCA"/>
    <w:rsid w:val="00B84483"/>
    <w:rsid w:val="00BC2B4B"/>
    <w:rsid w:val="00C43F20"/>
    <w:rsid w:val="00C67FC2"/>
    <w:rsid w:val="00C74642"/>
    <w:rsid w:val="00CA2F69"/>
    <w:rsid w:val="00CB42E9"/>
    <w:rsid w:val="00CF53D0"/>
    <w:rsid w:val="00D21D1F"/>
    <w:rsid w:val="00D35AEB"/>
    <w:rsid w:val="00D63C0C"/>
    <w:rsid w:val="00DA2097"/>
    <w:rsid w:val="00DB042F"/>
    <w:rsid w:val="00DB421B"/>
    <w:rsid w:val="00DE5BD3"/>
    <w:rsid w:val="00DF4394"/>
    <w:rsid w:val="00E0240E"/>
    <w:rsid w:val="00E17654"/>
    <w:rsid w:val="00E20890"/>
    <w:rsid w:val="00E3697A"/>
    <w:rsid w:val="00E511A8"/>
    <w:rsid w:val="00E61B02"/>
    <w:rsid w:val="00E6300E"/>
    <w:rsid w:val="00E71487"/>
    <w:rsid w:val="00E92419"/>
    <w:rsid w:val="00E97064"/>
    <w:rsid w:val="00EB3D13"/>
    <w:rsid w:val="00EB69EF"/>
    <w:rsid w:val="00F0058A"/>
    <w:rsid w:val="00F063FD"/>
    <w:rsid w:val="00F4305C"/>
    <w:rsid w:val="00F71562"/>
    <w:rsid w:val="00F7243C"/>
    <w:rsid w:val="00FA6E0E"/>
    <w:rsid w:val="00FB2ECB"/>
    <w:rsid w:val="00FB7583"/>
    <w:rsid w:val="00FB7FD5"/>
    <w:rsid w:val="00FE2119"/>
    <w:rsid w:val="00FF25C5"/>
    <w:rsid w:val="00FF63E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7BCB"/>
  <w15:chartTrackingRefBased/>
  <w15:docId w15:val="{F1F27753-ED5F-4A39-AABA-FA9F8541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FD5"/>
    <w:pPr>
      <w:spacing w:after="0" w:line="300" w:lineRule="auto"/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00A0"/>
    <w:pPr>
      <w:keepNext/>
      <w:keepLines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code">
    <w:name w:val="Compcode"/>
    <w:basedOn w:val="DefaultParagraphFont"/>
    <w:uiPriority w:val="1"/>
    <w:qFormat/>
    <w:rsid w:val="00112F97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1F00A0"/>
    <w:rPr>
      <w:rFonts w:asciiTheme="majorHAnsi" w:eastAsiaTheme="majorEastAsia" w:hAnsiTheme="majorHAnsi" w:cstheme="majorBidi"/>
      <w:i/>
      <w:sz w:val="26"/>
      <w:szCs w:val="26"/>
    </w:rPr>
  </w:style>
  <w:style w:type="table" w:styleId="TableGrid">
    <w:name w:val="Table Grid"/>
    <w:basedOn w:val="TableNormal"/>
    <w:uiPriority w:val="39"/>
    <w:rsid w:val="001F00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7FD"/>
    <w:rPr>
      <w:color w:val="808080"/>
    </w:rPr>
  </w:style>
  <w:style w:type="paragraph" w:styleId="ListParagraph">
    <w:name w:val="List Paragraph"/>
    <w:basedOn w:val="Normal"/>
    <w:uiPriority w:val="34"/>
    <w:qFormat/>
    <w:rsid w:val="00524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62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9477397" TargetMode="External"/><Relationship Id="rId13" Type="http://schemas.openxmlformats.org/officeDocument/2006/relationships/hyperlink" Target="https://www.conted.ox.ac.uk/about/msc-in-ebhc-systematic-reviews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2GCH5bp" TargetMode="External"/><Relationship Id="rId12" Type="http://schemas.openxmlformats.org/officeDocument/2006/relationships/hyperlink" Target="https://www.conted.ox.ac.uk/about/msc-in-ebhc-medical-statist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nted.ox.ac.uk/about/msc-in-evidence-based-health-ca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ted.ox.ac.uk/courses/meta-analysis%3c/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GCH5b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5383-D21D-499C-83E9-86E49FAE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Stevens</dc:creator>
  <cp:keywords/>
  <dc:description/>
  <cp:lastModifiedBy>Alice Crouch</cp:lastModifiedBy>
  <cp:revision>2</cp:revision>
  <cp:lastPrinted>2019-01-15T21:28:00Z</cp:lastPrinted>
  <dcterms:created xsi:type="dcterms:W3CDTF">2019-09-30T10:09:00Z</dcterms:created>
  <dcterms:modified xsi:type="dcterms:W3CDTF">2019-09-30T10:09:00Z</dcterms:modified>
</cp:coreProperties>
</file>