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538" w:rsidRDefault="00786B52" w:rsidP="00164538">
      <w:pPr>
        <w:rPr>
          <w:b/>
        </w:rPr>
      </w:pPr>
      <w:r>
        <w:rPr>
          <w:b/>
        </w:rPr>
        <w:t xml:space="preserve">Tip </w:t>
      </w:r>
      <w:r w:rsidR="007C6129">
        <w:rPr>
          <w:b/>
        </w:rPr>
        <w:t>for</w:t>
      </w:r>
      <w:r>
        <w:rPr>
          <w:b/>
        </w:rPr>
        <w:t xml:space="preserve"> d</w:t>
      </w:r>
      <w:r w:rsidR="00164538">
        <w:rPr>
          <w:b/>
        </w:rPr>
        <w:t xml:space="preserve">ata extraction </w:t>
      </w:r>
      <w:r w:rsidR="00165841">
        <w:rPr>
          <w:b/>
        </w:rPr>
        <w:t>for</w:t>
      </w:r>
      <w:r w:rsidR="00164538">
        <w:rPr>
          <w:b/>
        </w:rPr>
        <w:t xml:space="preserve"> meta-analysis </w:t>
      </w:r>
      <w:r>
        <w:rPr>
          <w:b/>
        </w:rPr>
        <w:t>-</w:t>
      </w:r>
      <w:r w:rsidR="00164538">
        <w:rPr>
          <w:b/>
        </w:rPr>
        <w:t xml:space="preserve"> </w:t>
      </w:r>
      <w:r w:rsidR="008F10D0">
        <w:rPr>
          <w:b/>
        </w:rPr>
        <w:t>1</w:t>
      </w:r>
      <w:r w:rsidR="0003727C">
        <w:rPr>
          <w:b/>
        </w:rPr>
        <w:t>2</w:t>
      </w:r>
    </w:p>
    <w:p w:rsidR="00567608" w:rsidRDefault="00567608" w:rsidP="00567608">
      <w:pPr>
        <w:jc w:val="center"/>
      </w:pPr>
      <w:r>
        <w:rPr>
          <w:noProof/>
          <w:lang w:eastAsia="en-GB"/>
        </w:rPr>
        <w:drawing>
          <wp:inline distT="0" distB="0" distL="0" distR="0" wp14:anchorId="336936E2" wp14:editId="666B43CE">
            <wp:extent cx="3483893" cy="17221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png"/>
                    <pic:cNvPicPr/>
                  </pic:nvPicPr>
                  <pic:blipFill>
                    <a:blip r:embed="rId6">
                      <a:extLst>
                        <a:ext uri="{28A0092B-C50C-407E-A947-70E740481C1C}">
                          <a14:useLocalDpi xmlns:a14="http://schemas.microsoft.com/office/drawing/2010/main" val="0"/>
                        </a:ext>
                      </a:extLst>
                    </a:blip>
                    <a:stretch>
                      <a:fillRect/>
                    </a:stretch>
                  </pic:blipFill>
                  <pic:spPr>
                    <a:xfrm>
                      <a:off x="0" y="0"/>
                      <a:ext cx="3486877" cy="1723595"/>
                    </a:xfrm>
                    <a:prstGeom prst="rect">
                      <a:avLst/>
                    </a:prstGeom>
                  </pic:spPr>
                </pic:pic>
              </a:graphicData>
            </a:graphic>
          </wp:inline>
        </w:drawing>
      </w:r>
    </w:p>
    <w:p w:rsidR="001C4A6A" w:rsidRPr="005B7B62" w:rsidRDefault="0003727C" w:rsidP="005E3D36">
      <w:pPr>
        <w:rPr>
          <w:i/>
        </w:rPr>
      </w:pPr>
      <w:r w:rsidRPr="005B7B62">
        <w:rPr>
          <w:i/>
        </w:rPr>
        <w:t>How can you reduce the risk of errors and bias when extracting data?</w:t>
      </w:r>
    </w:p>
    <w:p w:rsidR="0003727C" w:rsidRDefault="0003727C" w:rsidP="005E3D36"/>
    <w:p w:rsidR="005E3D36" w:rsidRPr="005E3D36" w:rsidRDefault="005E3D36" w:rsidP="005E3D36">
      <w:r w:rsidRPr="005E3D36">
        <w:t>Kathy Taylor</w:t>
      </w:r>
    </w:p>
    <w:p w:rsidR="005E3D36" w:rsidRDefault="005E3D36" w:rsidP="005E3D36"/>
    <w:p w:rsidR="00A13F26" w:rsidRDefault="002B2F5A" w:rsidP="000C7E15">
      <w:r>
        <w:t xml:space="preserve">You may unintentionally make errors or introduce bias during data extraction. This </w:t>
      </w:r>
      <w:r w:rsidR="003C2FEB">
        <w:t>will l</w:t>
      </w:r>
      <w:r w:rsidR="00D1064B">
        <w:t xml:space="preserve">ower the quality of </w:t>
      </w:r>
      <w:r w:rsidR="003C2FEB">
        <w:t>the meta-</w:t>
      </w:r>
      <w:r w:rsidR="00D1064B">
        <w:t>analys</w:t>
      </w:r>
      <w:r w:rsidR="003C2FEB">
        <w:t>i</w:t>
      </w:r>
      <w:r w:rsidR="00D1064B">
        <w:t xml:space="preserve">s and </w:t>
      </w:r>
      <w:r w:rsidR="003C2FEB">
        <w:t xml:space="preserve">may </w:t>
      </w:r>
      <w:r w:rsidR="000C7E15">
        <w:t>l</w:t>
      </w:r>
      <w:r w:rsidR="00AF2A21">
        <w:t>ead to</w:t>
      </w:r>
      <w:r w:rsidR="00D1064B">
        <w:t xml:space="preserve"> </w:t>
      </w:r>
      <w:r w:rsidR="00AF2A21">
        <w:t>unreliable conclusions</w:t>
      </w:r>
      <w:r w:rsidR="00D1064B">
        <w:t xml:space="preserve">. </w:t>
      </w:r>
      <w:r w:rsidR="007A4F17">
        <w:t xml:space="preserve">There are a number of ways in which you can </w:t>
      </w:r>
      <w:r w:rsidR="003C5DDE">
        <w:t xml:space="preserve">reduce the risk of </w:t>
      </w:r>
      <w:r w:rsidR="000944C1">
        <w:t>data extraction errors</w:t>
      </w:r>
      <w:r w:rsidR="007A4F17">
        <w:t xml:space="preserve"> and </w:t>
      </w:r>
      <w:r>
        <w:t xml:space="preserve">the risk of </w:t>
      </w:r>
      <w:r w:rsidR="000C7E15">
        <w:t xml:space="preserve">introducing </w:t>
      </w:r>
      <w:r w:rsidR="00D4046B">
        <w:t xml:space="preserve">potential </w:t>
      </w:r>
      <w:r w:rsidR="007A4F17">
        <w:t>bias</w:t>
      </w:r>
      <w:r w:rsidR="00D4046B">
        <w:t>es</w:t>
      </w:r>
      <w:r w:rsidR="003C2FEB">
        <w:t>:</w:t>
      </w:r>
      <w:r w:rsidR="000C7E15">
        <w:t xml:space="preserve"> </w:t>
      </w:r>
    </w:p>
    <w:p w:rsidR="007D7FCE" w:rsidRDefault="007D7FCE" w:rsidP="007D7FCE">
      <w:pPr>
        <w:jc w:val="center"/>
      </w:pPr>
    </w:p>
    <w:p w:rsidR="005B7B62" w:rsidRPr="007C357D" w:rsidRDefault="005B7B62" w:rsidP="005B7B62">
      <w:pPr>
        <w:pStyle w:val="ListParagraph"/>
        <w:numPr>
          <w:ilvl w:val="0"/>
          <w:numId w:val="16"/>
        </w:numPr>
      </w:pPr>
      <w:r w:rsidRPr="001C100F">
        <w:rPr>
          <w:b/>
        </w:rPr>
        <w:t xml:space="preserve">Make your data extraction </w:t>
      </w:r>
      <w:hyperlink r:id="rId7" w:history="1">
        <w:r w:rsidRPr="003C2FEB">
          <w:rPr>
            <w:rStyle w:val="Hyperlink"/>
            <w:b/>
          </w:rPr>
          <w:t>efficient</w:t>
        </w:r>
      </w:hyperlink>
      <w:r w:rsidRPr="001C100F">
        <w:rPr>
          <w:b/>
        </w:rPr>
        <w:t xml:space="preserve">. </w:t>
      </w:r>
      <w:r w:rsidRPr="007C357D">
        <w:t>By doing so, you</w:t>
      </w:r>
      <w:r>
        <w:t>’</w:t>
      </w:r>
      <w:r w:rsidRPr="007C357D">
        <w:t xml:space="preserve">ll be less likely to get in a muddle and make errors. </w:t>
      </w:r>
    </w:p>
    <w:p w:rsidR="005B7B62" w:rsidRPr="005B7B62" w:rsidRDefault="005B7B62" w:rsidP="005B7B62">
      <w:pPr>
        <w:pStyle w:val="ListParagraph"/>
      </w:pPr>
    </w:p>
    <w:p w:rsidR="00A35178" w:rsidRDefault="002F761A" w:rsidP="001C100F">
      <w:pPr>
        <w:pStyle w:val="ListParagraph"/>
        <w:numPr>
          <w:ilvl w:val="0"/>
          <w:numId w:val="16"/>
        </w:numPr>
      </w:pPr>
      <w:r w:rsidRPr="001C100F">
        <w:rPr>
          <w:b/>
        </w:rPr>
        <w:t>E</w:t>
      </w:r>
      <w:r w:rsidR="00117AB8" w:rsidRPr="001C100F">
        <w:rPr>
          <w:b/>
        </w:rPr>
        <w:t xml:space="preserve">xtract </w:t>
      </w:r>
      <w:r w:rsidRPr="001C100F">
        <w:rPr>
          <w:b/>
        </w:rPr>
        <w:t xml:space="preserve">the data </w:t>
      </w:r>
      <w:r w:rsidR="00117AB8" w:rsidRPr="001C100F">
        <w:rPr>
          <w:b/>
        </w:rPr>
        <w:t xml:space="preserve">twice, </w:t>
      </w:r>
      <w:r w:rsidRPr="001C100F">
        <w:rPr>
          <w:b/>
        </w:rPr>
        <w:t>in pairs</w:t>
      </w:r>
      <w:r w:rsidR="00732BA4" w:rsidRPr="001C100F">
        <w:rPr>
          <w:b/>
        </w:rPr>
        <w:t xml:space="preserve"> and</w:t>
      </w:r>
      <w:r w:rsidRPr="001C100F">
        <w:rPr>
          <w:b/>
        </w:rPr>
        <w:t xml:space="preserve"> </w:t>
      </w:r>
      <w:r w:rsidR="00117AB8" w:rsidRPr="001C100F">
        <w:rPr>
          <w:b/>
        </w:rPr>
        <w:t>independently</w:t>
      </w:r>
      <w:r w:rsidR="00A35178" w:rsidRPr="001C100F">
        <w:rPr>
          <w:b/>
        </w:rPr>
        <w:t>,</w:t>
      </w:r>
      <w:r w:rsidR="00A35178">
        <w:t xml:space="preserve"> </w:t>
      </w:r>
      <w:r w:rsidR="00D3047B">
        <w:t xml:space="preserve">compare </w:t>
      </w:r>
      <w:r w:rsidR="00A35178">
        <w:t xml:space="preserve">the two sets of </w:t>
      </w:r>
      <w:r w:rsidR="00D3047B">
        <w:t xml:space="preserve">data and resolve </w:t>
      </w:r>
      <w:r>
        <w:t xml:space="preserve">any </w:t>
      </w:r>
      <w:r w:rsidR="00D3047B">
        <w:t xml:space="preserve">discrepancies, </w:t>
      </w:r>
      <w:r w:rsidR="00D4046B">
        <w:t>with a third person adjudicating if necessary</w:t>
      </w:r>
      <w:r w:rsidR="00A35178">
        <w:t xml:space="preserve">. </w:t>
      </w:r>
      <w:r w:rsidR="00077F8A">
        <w:t>This is a well</w:t>
      </w:r>
      <w:r w:rsidR="007A4F17">
        <w:t>-</w:t>
      </w:r>
      <w:r w:rsidR="00077F8A">
        <w:t xml:space="preserve">established </w:t>
      </w:r>
      <w:hyperlink r:id="rId8" w:history="1">
        <w:r w:rsidR="00077F8A" w:rsidRPr="009236B3">
          <w:rPr>
            <w:rStyle w:val="Hyperlink"/>
          </w:rPr>
          <w:t>recommendation</w:t>
        </w:r>
      </w:hyperlink>
      <w:r w:rsidR="00077F8A">
        <w:t>.</w:t>
      </w:r>
      <w:r w:rsidR="00D4046B">
        <w:t xml:space="preserve"> I</w:t>
      </w:r>
      <w:r w:rsidR="001B2657">
        <w:t xml:space="preserve">f the </w:t>
      </w:r>
      <w:r w:rsidR="00D4046B">
        <w:t>outcome</w:t>
      </w:r>
      <w:r w:rsidR="001B2657">
        <w:t>s are subjective,</w:t>
      </w:r>
      <w:r w:rsidR="00D4046B">
        <w:t xml:space="preserve"> it may be necessary to have </w:t>
      </w:r>
      <w:r w:rsidR="007C357D">
        <w:t>more than two people extract the data</w:t>
      </w:r>
      <w:r w:rsidR="00D4046B">
        <w:t xml:space="preserve">.  </w:t>
      </w:r>
    </w:p>
    <w:p w:rsidR="00A5288C" w:rsidRPr="00A5288C" w:rsidRDefault="00A5288C" w:rsidP="001C100F">
      <w:pPr>
        <w:pStyle w:val="ListParagraph"/>
        <w:ind w:left="360"/>
      </w:pPr>
    </w:p>
    <w:p w:rsidR="00A13F26" w:rsidRDefault="003C5DDE" w:rsidP="001C100F">
      <w:pPr>
        <w:pStyle w:val="ListParagraph"/>
        <w:numPr>
          <w:ilvl w:val="0"/>
          <w:numId w:val="16"/>
        </w:numPr>
      </w:pPr>
      <w:r w:rsidRPr="001C100F">
        <w:rPr>
          <w:b/>
        </w:rPr>
        <w:t>K</w:t>
      </w:r>
      <w:r w:rsidR="00A35178" w:rsidRPr="001C100F">
        <w:rPr>
          <w:b/>
        </w:rPr>
        <w:t>eep a copy of the data</w:t>
      </w:r>
      <w:r w:rsidR="003B2F11" w:rsidRPr="001C100F">
        <w:rPr>
          <w:b/>
        </w:rPr>
        <w:t>,</w:t>
      </w:r>
      <w:r w:rsidR="00A35178" w:rsidRPr="001C100F">
        <w:rPr>
          <w:b/>
        </w:rPr>
        <w:t xml:space="preserve"> as reported</w:t>
      </w:r>
      <w:r w:rsidR="003B2F11" w:rsidRPr="001C100F">
        <w:rPr>
          <w:b/>
        </w:rPr>
        <w:t>,</w:t>
      </w:r>
      <w:r w:rsidR="00A35178" w:rsidRPr="001C100F">
        <w:rPr>
          <w:b/>
        </w:rPr>
        <w:t xml:space="preserve"> </w:t>
      </w:r>
      <w:r w:rsidRPr="001C100F">
        <w:rPr>
          <w:b/>
        </w:rPr>
        <w:t>untouched</w:t>
      </w:r>
      <w:r>
        <w:t>. Perform</w:t>
      </w:r>
      <w:r w:rsidR="00B33AC8">
        <w:t xml:space="preserve"> your</w:t>
      </w:r>
      <w:r>
        <w:t xml:space="preserve"> data extraction methods on a copy of the original </w:t>
      </w:r>
      <w:r w:rsidR="003B2F11">
        <w:t>data</w:t>
      </w:r>
      <w:r w:rsidR="00A35178">
        <w:t>.</w:t>
      </w:r>
      <w:r w:rsidR="003B2F11">
        <w:t xml:space="preserve"> If there are any queries later you can always go back to the original data</w:t>
      </w:r>
      <w:r w:rsidR="00B33AC8">
        <w:t xml:space="preserve"> without having to extract it again</w:t>
      </w:r>
      <w:r w:rsidR="003B2F11">
        <w:t>.</w:t>
      </w:r>
    </w:p>
    <w:p w:rsidR="00A5288C" w:rsidRPr="00E16F7A" w:rsidRDefault="00A5288C" w:rsidP="001C100F">
      <w:pPr>
        <w:pStyle w:val="ListParagraph"/>
        <w:ind w:left="360"/>
        <w:rPr>
          <w:b/>
        </w:rPr>
      </w:pPr>
    </w:p>
    <w:p w:rsidR="00B33AC8" w:rsidRDefault="00E16F7A" w:rsidP="001C100F">
      <w:pPr>
        <w:pStyle w:val="ListParagraph"/>
        <w:numPr>
          <w:ilvl w:val="0"/>
          <w:numId w:val="16"/>
        </w:numPr>
      </w:pPr>
      <w:r w:rsidRPr="001C100F">
        <w:rPr>
          <w:b/>
        </w:rPr>
        <w:t>If you have data queries, t</w:t>
      </w:r>
      <w:r w:rsidR="00D3047B" w:rsidRPr="001C100F">
        <w:rPr>
          <w:b/>
        </w:rPr>
        <w:t>ry contacting the authors</w:t>
      </w:r>
      <w:r w:rsidRPr="001C100F">
        <w:rPr>
          <w:b/>
        </w:rPr>
        <w:t xml:space="preserve">. </w:t>
      </w:r>
      <w:r w:rsidRPr="00E16F7A">
        <w:t xml:space="preserve">You may </w:t>
      </w:r>
      <w:r>
        <w:t xml:space="preserve">want clarification about published data or enquire about </w:t>
      </w:r>
      <w:r w:rsidR="00CF115B">
        <w:t xml:space="preserve">data that you want </w:t>
      </w:r>
      <w:r>
        <w:t xml:space="preserve">but </w:t>
      </w:r>
      <w:r w:rsidR="00CF115B">
        <w:t>are not reported.</w:t>
      </w:r>
      <w:r w:rsidR="00D3047B">
        <w:t xml:space="preserve"> </w:t>
      </w:r>
      <w:r w:rsidR="00CF115B">
        <w:t>When contacting authors i</w:t>
      </w:r>
      <w:r w:rsidR="00B33AC8">
        <w:t>t’s important to emphasise that you</w:t>
      </w:r>
      <w:r w:rsidR="00FE1F04">
        <w:t>’</w:t>
      </w:r>
      <w:r w:rsidR="00B33AC8">
        <w:t>re only asking for summary data that</w:t>
      </w:r>
      <w:r w:rsidR="00256FE3">
        <w:t xml:space="preserve"> are</w:t>
      </w:r>
      <w:r w:rsidR="00B33AC8">
        <w:t xml:space="preserve"> readily available. Otherwise, authors may assume that you are inviting them to collaborate</w:t>
      </w:r>
      <w:r w:rsidR="00CF115B">
        <w:t xml:space="preserve">, which </w:t>
      </w:r>
      <w:r w:rsidR="00FE1F04">
        <w:t>can lead to</w:t>
      </w:r>
      <w:r w:rsidR="00CF115B">
        <w:t xml:space="preserve"> awkward</w:t>
      </w:r>
      <w:r w:rsidR="00FE1F04">
        <w:t>ness</w:t>
      </w:r>
      <w:r w:rsidR="00B33AC8">
        <w:t>. First email the corresponding author</w:t>
      </w:r>
      <w:r w:rsidR="00CF115B">
        <w:t>,</w:t>
      </w:r>
      <w:r w:rsidR="00B33AC8">
        <w:t xml:space="preserve"> and if they </w:t>
      </w:r>
      <w:r w:rsidR="00CF115B">
        <w:t>don’t reply,</w:t>
      </w:r>
      <w:r w:rsidR="00B33AC8">
        <w:t xml:space="preserve"> try </w:t>
      </w:r>
      <w:r w:rsidR="00CF115B">
        <w:t xml:space="preserve">contacting </w:t>
      </w:r>
      <w:r w:rsidR="00B33AC8">
        <w:t>the final author listed on the publication, as they</w:t>
      </w:r>
      <w:r w:rsidR="00CF115B">
        <w:t>’</w:t>
      </w:r>
      <w:r w:rsidR="00B33AC8">
        <w:t>re usually the principal investigator of the study.</w:t>
      </w:r>
      <w:r w:rsidR="00B93428">
        <w:t xml:space="preserve"> </w:t>
      </w:r>
    </w:p>
    <w:p w:rsidR="00A5288C" w:rsidRDefault="001B2657" w:rsidP="009541E7">
      <w:pPr>
        <w:pStyle w:val="ListParagraph"/>
        <w:jc w:val="center"/>
      </w:pPr>
      <w:r>
        <w:rPr>
          <w:noProof/>
          <w:lang w:eastAsia="en-GB"/>
        </w:rPr>
        <w:lastRenderedPageBreak/>
        <w:drawing>
          <wp:inline distT="0" distB="0" distL="0" distR="0" wp14:anchorId="6B3D48AB" wp14:editId="2919B1B2">
            <wp:extent cx="1175597" cy="1175597"/>
            <wp:effectExtent l="0" t="0" r="5715" b="5715"/>
            <wp:docPr id="5" name="Picture 5" descr="List, Icon, Symbol, Paper, Sign, Flat, Note, Form,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 Icon, Symbol, Paper, Sign, Flat, Note, Form, M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387" cy="1181387"/>
                    </a:xfrm>
                    <a:prstGeom prst="rect">
                      <a:avLst/>
                    </a:prstGeom>
                    <a:noFill/>
                    <a:ln>
                      <a:noFill/>
                    </a:ln>
                  </pic:spPr>
                </pic:pic>
              </a:graphicData>
            </a:graphic>
          </wp:inline>
        </w:drawing>
      </w:r>
    </w:p>
    <w:p w:rsidR="00AA4EE9" w:rsidRDefault="0003727C" w:rsidP="001C100F">
      <w:pPr>
        <w:pStyle w:val="ListParagraph"/>
        <w:numPr>
          <w:ilvl w:val="0"/>
          <w:numId w:val="16"/>
        </w:numPr>
      </w:pPr>
      <w:r w:rsidRPr="001C100F">
        <w:rPr>
          <w:b/>
        </w:rPr>
        <w:t>C</w:t>
      </w:r>
      <w:r w:rsidR="00732697" w:rsidRPr="001C100F">
        <w:rPr>
          <w:b/>
        </w:rPr>
        <w:t>heck your units</w:t>
      </w:r>
      <w:r w:rsidR="00A86B94">
        <w:t xml:space="preserve">. For example, </w:t>
      </w:r>
      <w:r w:rsidR="003C402A">
        <w:t xml:space="preserve">in a </w:t>
      </w:r>
      <w:hyperlink r:id="rId10" w:history="1">
        <w:r w:rsidR="003C402A" w:rsidRPr="00AA4EE9">
          <w:rPr>
            <w:rStyle w:val="Hyperlink"/>
          </w:rPr>
          <w:t>review</w:t>
        </w:r>
      </w:hyperlink>
      <w:r w:rsidR="003C402A">
        <w:t xml:space="preserve"> I worked </w:t>
      </w:r>
      <w:r w:rsidR="00AA4EE9">
        <w:t xml:space="preserve">on, </w:t>
      </w:r>
      <w:r w:rsidR="003C402A">
        <w:t xml:space="preserve">some studies reported </w:t>
      </w:r>
      <w:r w:rsidR="00A86B94">
        <w:t xml:space="preserve">albumin excretion rate </w:t>
      </w:r>
      <w:r w:rsidR="003C402A">
        <w:t>i</w:t>
      </w:r>
      <w:r w:rsidR="00A86B94">
        <w:t xml:space="preserve">n </w:t>
      </w:r>
      <w:r w:rsidR="00A86B94" w:rsidRPr="002F2763">
        <w:t xml:space="preserve">mg/24hr </w:t>
      </w:r>
      <w:r w:rsidR="003C402A">
        <w:t>and others reported it in</w:t>
      </w:r>
      <w:r w:rsidR="00A86B94" w:rsidRPr="002F2763">
        <w:t xml:space="preserve"> µg/min</w:t>
      </w:r>
      <w:r w:rsidR="00256FE3">
        <w:t xml:space="preserve">. </w:t>
      </w:r>
      <w:r w:rsidR="00A5288C">
        <w:t>Data need to be converted to a common unit.</w:t>
      </w:r>
      <w:r w:rsidR="00AA4EE9">
        <w:t xml:space="preserve"> </w:t>
      </w:r>
      <w:r w:rsidR="003C402A">
        <w:t xml:space="preserve">As </w:t>
      </w:r>
      <w:r w:rsidR="00A5288C">
        <w:t>1</w:t>
      </w:r>
      <w:r w:rsidR="00256FE3">
        <w:t xml:space="preserve"> mg=1000µg and 24 hours=24x60=1440 minutes</w:t>
      </w:r>
      <w:r w:rsidR="00A5288C">
        <w:t xml:space="preserve"> so, </w:t>
      </w:r>
      <w:r w:rsidR="00AA4EE9">
        <w:t xml:space="preserve"> </w:t>
      </w:r>
    </w:p>
    <w:p w:rsidR="00256FE3" w:rsidRDefault="00A5288C" w:rsidP="005D77DF">
      <w:pPr>
        <w:pStyle w:val="ListParagraph"/>
      </w:pPr>
      <w:r>
        <w:t>t</w:t>
      </w:r>
      <w:r w:rsidR="00256FE3">
        <w:t xml:space="preserve">o convert mg/24hr to </w:t>
      </w:r>
      <w:r w:rsidR="00256FE3" w:rsidRPr="001C100F">
        <w:rPr>
          <w:rFonts w:ascii="Calibri" w:hAnsi="Calibri"/>
          <w:color w:val="000000"/>
          <w:kern w:val="24"/>
        </w:rPr>
        <w:t xml:space="preserve">µg/min </w:t>
      </w:r>
    </w:p>
    <w:p w:rsidR="00256FE3" w:rsidRDefault="00256FE3" w:rsidP="001C100F">
      <w:r w:rsidRPr="00256FE3">
        <w:rPr>
          <w:noProof/>
          <w:lang w:eastAsia="en-GB"/>
        </w:rPr>
        <mc:AlternateContent>
          <mc:Choice Requires="wps">
            <w:drawing>
              <wp:anchor distT="0" distB="0" distL="114300" distR="114300" simplePos="0" relativeHeight="251662336" behindDoc="0" locked="0" layoutInCell="1" allowOverlap="1" wp14:anchorId="08E58324" wp14:editId="67E4AAE8">
                <wp:simplePos x="0" y="0"/>
                <wp:positionH relativeFrom="column">
                  <wp:posOffset>601134</wp:posOffset>
                </wp:positionH>
                <wp:positionV relativeFrom="paragraph">
                  <wp:posOffset>9102</wp:posOffset>
                </wp:positionV>
                <wp:extent cx="4580501" cy="704295"/>
                <wp:effectExtent l="0" t="0" r="0" b="0"/>
                <wp:wrapNone/>
                <wp:docPr id="20" name="TextBox 10"/>
                <wp:cNvGraphicFramePr/>
                <a:graphic xmlns:a="http://schemas.openxmlformats.org/drawingml/2006/main">
                  <a:graphicData uri="http://schemas.microsoft.com/office/word/2010/wordprocessingShape">
                    <wps:wsp>
                      <wps:cNvSpPr txBox="1"/>
                      <wps:spPr>
                        <a:xfrm>
                          <a:off x="0" y="0"/>
                          <a:ext cx="4580501" cy="704295"/>
                        </a:xfrm>
                        <a:prstGeom prst="rect">
                          <a:avLst/>
                        </a:prstGeom>
                        <a:noFill/>
                      </wps:spPr>
                      <wps:txbx>
                        <w:txbxContent>
                          <w:p w:rsidR="00256FE3" w:rsidRPr="002F2763" w:rsidRDefault="00A5288C" w:rsidP="00256FE3">
                            <w:pPr>
                              <w:pStyle w:val="NormalWeb"/>
                              <w:spacing w:before="0" w:beforeAutospacing="0" w:after="0" w:afterAutospacing="0"/>
                            </w:pPr>
                            <w:r>
                              <w:rPr>
                                <w:rFonts w:ascii="Calibri" w:hAnsi="Calibri" w:cstheme="minorBidi"/>
                                <w:color w:val="000000"/>
                                <w:kern w:val="24"/>
                              </w:rPr>
                              <w:t>M</w:t>
                            </w:r>
                            <w:r w:rsidR="00256FE3">
                              <w:rPr>
                                <w:rFonts w:ascii="Calibri" w:hAnsi="Calibri" w:cstheme="minorBidi"/>
                                <w:color w:val="000000"/>
                                <w:kern w:val="24"/>
                              </w:rPr>
                              <w:t xml:space="preserve">ultiply by  </w:t>
                            </w:r>
                            <m:oMath>
                              <m:f>
                                <m:fPr>
                                  <m:ctrlPr>
                                    <w:rPr>
                                      <w:rFonts w:ascii="Cambria Math" w:eastAsia="Cambria Math" w:hAnsi="Cambria Math" w:cstheme="minorBidi"/>
                                      <w:i/>
                                      <w:iCs/>
                                      <w:color w:val="000000"/>
                                      <w:kern w:val="24"/>
                                    </w:rPr>
                                  </m:ctrlPr>
                                </m:fPr>
                                <m:num>
                                  <m:r>
                                    <w:rPr>
                                      <w:rFonts w:ascii="Cambria Math" w:eastAsia="Cambria Math" w:hAnsi="Cambria Math" w:cstheme="minorBidi"/>
                                      <w:color w:val="000000"/>
                                      <w:kern w:val="24"/>
                                    </w:rPr>
                                    <m:t>1000</m:t>
                                  </m:r>
                                </m:num>
                                <m:den>
                                  <m:r>
                                    <w:rPr>
                                      <w:rFonts w:ascii="Cambria Math" w:eastAsia="Cambria Math" w:hAnsi="Cambria Math" w:cstheme="minorBidi"/>
                                      <w:color w:val="000000"/>
                                      <w:kern w:val="24"/>
                                    </w:rPr>
                                    <m:t>1440</m:t>
                                  </m:r>
                                </m:den>
                              </m:f>
                            </m:oMath>
                            <w:r w:rsidR="00256FE3">
                              <w:rPr>
                                <w:rFonts w:ascii="Calibri" w:hAnsi="Calibri" w:cstheme="minorBidi"/>
                                <w:iCs/>
                                <w:color w:val="000000"/>
                                <w:kern w:val="24"/>
                              </w:rPr>
                              <w:t xml:space="preserve"> </w:t>
                            </w:r>
                            <w:r w:rsidR="003C402A">
                              <w:rPr>
                                <w:rFonts w:ascii="Calibri" w:hAnsi="Calibri" w:cstheme="minorBidi"/>
                                <w:iCs/>
                                <w:color w:val="000000"/>
                                <w:kern w:val="24"/>
                              </w:rPr>
                              <w:t xml:space="preserve">because </w:t>
                            </w:r>
                            <w:r w:rsidR="00256FE3">
                              <w:rPr>
                                <w:rFonts w:ascii="Calibri" w:eastAsia="Cambria Math" w:hAnsi="Calibri" w:cstheme="minorBidi"/>
                                <w:color w:val="000000"/>
                                <w:kern w:val="24"/>
                              </w:rPr>
                              <w:t xml:space="preserve">1 </w:t>
                            </w:r>
                            <w:r w:rsidR="00256FE3" w:rsidRPr="002F2763">
                              <w:rPr>
                                <w:rFonts w:ascii="Calibri" w:eastAsia="Cambria Math" w:hAnsi="Calibri" w:cstheme="minorBidi"/>
                                <w:color w:val="000000"/>
                                <w:kern w:val="24"/>
                              </w:rPr>
                              <w:t xml:space="preserve">mg/24hr </w:t>
                            </w:r>
                            <w:r w:rsidR="00256FE3">
                              <w:rPr>
                                <w:rFonts w:ascii="Calibri" w:eastAsia="Cambria Math" w:hAnsi="Calibri" w:cstheme="minorBidi"/>
                                <w:color w:val="000000"/>
                                <w:kern w:val="24"/>
                              </w:rPr>
                              <w:t xml:space="preserve">= 1000 </w:t>
                            </w:r>
                            <w:r w:rsidR="00256FE3" w:rsidRPr="002F2763">
                              <w:rPr>
                                <w:rFonts w:ascii="Calibri" w:hAnsi="Calibri" w:cstheme="minorBidi"/>
                                <w:color w:val="000000"/>
                                <w:kern w:val="24"/>
                              </w:rPr>
                              <w:t>µ</w:t>
                            </w:r>
                            <w:r w:rsidR="00256FE3">
                              <w:rPr>
                                <w:rFonts w:ascii="Calibri" w:eastAsia="Cambria Math" w:hAnsi="Calibri" w:cstheme="minorBidi"/>
                                <w:color w:val="000000"/>
                                <w:kern w:val="24"/>
                              </w:rPr>
                              <w:t xml:space="preserve">g/24hr = </w:t>
                            </w:r>
                            <m:oMath>
                              <m:f>
                                <m:fPr>
                                  <m:ctrlPr>
                                    <w:rPr>
                                      <w:rFonts w:ascii="Cambria Math" w:eastAsia="Cambria Math" w:hAnsi="Cambria Math" w:cstheme="minorBidi"/>
                                      <w:i/>
                                      <w:iCs/>
                                      <w:color w:val="000000"/>
                                      <w:kern w:val="24"/>
                                    </w:rPr>
                                  </m:ctrlPr>
                                </m:fPr>
                                <m:num>
                                  <m:r>
                                    <w:rPr>
                                      <w:rFonts w:ascii="Cambria Math" w:eastAsia="Cambria Math" w:hAnsi="Cambria Math" w:cstheme="minorBidi"/>
                                      <w:color w:val="000000"/>
                                      <w:kern w:val="24"/>
                                    </w:rPr>
                                    <m:t>1000</m:t>
                                  </m:r>
                                </m:num>
                                <m:den>
                                  <m:r>
                                    <w:rPr>
                                      <w:rFonts w:ascii="Cambria Math" w:eastAsia="Cambria Math" w:hAnsi="Cambria Math" w:cstheme="minorBidi"/>
                                      <w:color w:val="000000"/>
                                      <w:kern w:val="24"/>
                                    </w:rPr>
                                    <m:t>1440</m:t>
                                  </m:r>
                                </m:den>
                              </m:f>
                            </m:oMath>
                            <w:r w:rsidR="00256FE3" w:rsidRPr="002F2763">
                              <w:rPr>
                                <w:rFonts w:ascii="Calibri" w:hAnsi="Calibri" w:cstheme="minorBidi"/>
                                <w:color w:val="000000"/>
                                <w:kern w:val="24"/>
                              </w:rPr>
                              <w:t xml:space="preserve">  µg/min</w:t>
                            </w:r>
                          </w:p>
                        </w:txbxContent>
                      </wps:txbx>
                      <wps:bodyPr wrap="square" rtlCol="0">
                        <a:spAutoFit/>
                      </wps:bodyPr>
                    </wps:wsp>
                  </a:graphicData>
                </a:graphic>
              </wp:anchor>
            </w:drawing>
          </mc:Choice>
          <mc:Fallback>
            <w:pict>
              <v:shapetype w14:anchorId="08E58324" id="_x0000_t202" coordsize="21600,21600" o:spt="202" path="m,l,21600r21600,l21600,xe">
                <v:stroke joinstyle="miter"/>
                <v:path gradientshapeok="t" o:connecttype="rect"/>
              </v:shapetype>
              <v:shape id="TextBox 10" o:spid="_x0000_s1026" type="#_x0000_t202" style="position:absolute;left:0;text-align:left;margin-left:47.35pt;margin-top:.7pt;width:360.65pt;height:55.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" filled="f" stroked="f">
                <v:textbox style="mso-fit-shape-to-text:t">
                  <w:txbxContent>
                    <w:p w:rsidR="00256FE3" w:rsidRPr="002F2763" w:rsidRDefault="00A5288C" w:rsidP="00256FE3">
                      <w:pPr>
                        <w:pStyle w:val="NormalWeb"/>
                        <w:spacing w:before="0" w:beforeAutospacing="0" w:after="0" w:afterAutospacing="0"/>
                      </w:pPr>
                      <w:r>
                        <w:rPr>
                          <w:rFonts w:ascii="Calibri" w:hAnsi="Calibri" w:cstheme="minorBidi"/>
                          <w:color w:val="000000"/>
                          <w:kern w:val="24"/>
                        </w:rPr>
                        <w:t>M</w:t>
                      </w:r>
                      <w:r w:rsidR="00256FE3">
                        <w:rPr>
                          <w:rFonts w:ascii="Calibri" w:hAnsi="Calibri" w:cstheme="minorBidi"/>
                          <w:color w:val="000000"/>
                          <w:kern w:val="24"/>
                        </w:rPr>
                        <w:t xml:space="preserve">ultiply by  </w:t>
                      </w:r>
                      <m:oMath>
                        <m:f>
                          <m:fPr>
                            <m:ctrlPr>
                              <w:rPr>
                                <w:rFonts w:ascii="Cambria Math" w:eastAsia="Cambria Math" w:hAnsi="Cambria Math" w:cstheme="minorBidi"/>
                                <w:i/>
                                <w:iCs/>
                                <w:color w:val="000000"/>
                                <w:kern w:val="24"/>
                              </w:rPr>
                            </m:ctrlPr>
                          </m:fPr>
                          <m:num>
                            <m:r>
                              <w:rPr>
                                <w:rFonts w:ascii="Cambria Math" w:eastAsia="Cambria Math" w:hAnsi="Cambria Math" w:cstheme="minorBidi"/>
                                <w:color w:val="000000"/>
                                <w:kern w:val="24"/>
                              </w:rPr>
                              <m:t>1000</m:t>
                            </m:r>
                          </m:num>
                          <m:den>
                            <m:r>
                              <w:rPr>
                                <w:rFonts w:ascii="Cambria Math" w:eastAsia="Cambria Math" w:hAnsi="Cambria Math" w:cstheme="minorBidi"/>
                                <w:color w:val="000000"/>
                                <w:kern w:val="24"/>
                              </w:rPr>
                              <m:t>1440</m:t>
                            </m:r>
                          </m:den>
                        </m:f>
                      </m:oMath>
                      <w:r w:rsidR="00256FE3">
                        <w:rPr>
                          <w:rFonts w:ascii="Calibri" w:hAnsi="Calibri" w:cstheme="minorBidi"/>
                          <w:iCs/>
                          <w:color w:val="000000"/>
                          <w:kern w:val="24"/>
                        </w:rPr>
                        <w:t xml:space="preserve"> </w:t>
                      </w:r>
                      <w:r w:rsidR="003C402A">
                        <w:rPr>
                          <w:rFonts w:ascii="Calibri" w:hAnsi="Calibri" w:cstheme="minorBidi"/>
                          <w:iCs/>
                          <w:color w:val="000000"/>
                          <w:kern w:val="24"/>
                        </w:rPr>
                        <w:t xml:space="preserve">because </w:t>
                      </w:r>
                      <w:r w:rsidR="00256FE3">
                        <w:rPr>
                          <w:rFonts w:ascii="Calibri" w:eastAsia="Cambria Math" w:hAnsi="Calibri" w:cstheme="minorBidi"/>
                          <w:color w:val="000000"/>
                          <w:kern w:val="24"/>
                        </w:rPr>
                        <w:t xml:space="preserve">1 </w:t>
                      </w:r>
                      <w:r w:rsidR="00256FE3" w:rsidRPr="002F2763">
                        <w:rPr>
                          <w:rFonts w:ascii="Calibri" w:eastAsia="Cambria Math" w:hAnsi="Calibri" w:cstheme="minorBidi"/>
                          <w:color w:val="000000"/>
                          <w:kern w:val="24"/>
                        </w:rPr>
                        <w:t xml:space="preserve">mg/24hr </w:t>
                      </w:r>
                      <w:r w:rsidR="00256FE3">
                        <w:rPr>
                          <w:rFonts w:ascii="Calibri" w:eastAsia="Cambria Math" w:hAnsi="Calibri" w:cstheme="minorBidi"/>
                          <w:color w:val="000000"/>
                          <w:kern w:val="24"/>
                        </w:rPr>
                        <w:t xml:space="preserve">= 1000 </w:t>
                      </w:r>
                      <w:r w:rsidR="00256FE3" w:rsidRPr="002F2763">
                        <w:rPr>
                          <w:rFonts w:ascii="Calibri" w:hAnsi="Calibri" w:cstheme="minorBidi"/>
                          <w:color w:val="000000"/>
                          <w:kern w:val="24"/>
                        </w:rPr>
                        <w:t>µ</w:t>
                      </w:r>
                      <w:r w:rsidR="00256FE3">
                        <w:rPr>
                          <w:rFonts w:ascii="Calibri" w:eastAsia="Cambria Math" w:hAnsi="Calibri" w:cstheme="minorBidi"/>
                          <w:color w:val="000000"/>
                          <w:kern w:val="24"/>
                        </w:rPr>
                        <w:t xml:space="preserve">g/24hr = </w:t>
                      </w:r>
                      <m:oMath>
                        <m:f>
                          <m:fPr>
                            <m:ctrlPr>
                              <w:rPr>
                                <w:rFonts w:ascii="Cambria Math" w:eastAsia="Cambria Math" w:hAnsi="Cambria Math" w:cstheme="minorBidi"/>
                                <w:i/>
                                <w:iCs/>
                                <w:color w:val="000000"/>
                                <w:kern w:val="24"/>
                              </w:rPr>
                            </m:ctrlPr>
                          </m:fPr>
                          <m:num>
                            <m:r>
                              <w:rPr>
                                <w:rFonts w:ascii="Cambria Math" w:eastAsia="Cambria Math" w:hAnsi="Cambria Math" w:cstheme="minorBidi"/>
                                <w:color w:val="000000"/>
                                <w:kern w:val="24"/>
                              </w:rPr>
                              <m:t>1000</m:t>
                            </m:r>
                          </m:num>
                          <m:den>
                            <m:r>
                              <w:rPr>
                                <w:rFonts w:ascii="Cambria Math" w:eastAsia="Cambria Math" w:hAnsi="Cambria Math" w:cstheme="minorBidi"/>
                                <w:color w:val="000000"/>
                                <w:kern w:val="24"/>
                              </w:rPr>
                              <m:t>1440</m:t>
                            </m:r>
                          </m:den>
                        </m:f>
                      </m:oMath>
                      <w:r w:rsidR="00256FE3" w:rsidRPr="002F2763">
                        <w:rPr>
                          <w:rFonts w:ascii="Calibri" w:hAnsi="Calibri" w:cstheme="minorBidi"/>
                          <w:color w:val="000000"/>
                          <w:kern w:val="24"/>
                        </w:rPr>
                        <w:t xml:space="preserve">  µg/min</w:t>
                      </w:r>
                    </w:p>
                  </w:txbxContent>
                </v:textbox>
              </v:shape>
            </w:pict>
          </mc:Fallback>
        </mc:AlternateContent>
      </w:r>
    </w:p>
    <w:p w:rsidR="00A5288C" w:rsidRDefault="00A5288C" w:rsidP="001C100F">
      <w:pPr>
        <w:ind w:left="360"/>
      </w:pPr>
    </w:p>
    <w:p w:rsidR="00256FE3" w:rsidRPr="001C100F" w:rsidRDefault="00A5288C" w:rsidP="001C100F">
      <w:pPr>
        <w:pStyle w:val="ListParagraph"/>
        <w:rPr>
          <w:rFonts w:ascii="Calibri" w:hAnsi="Calibri"/>
          <w:color w:val="000000"/>
          <w:kern w:val="24"/>
        </w:rPr>
      </w:pPr>
      <w:r w:rsidRPr="00A5288C">
        <w:rPr>
          <w:noProof/>
          <w:lang w:eastAsia="en-GB"/>
        </w:rPr>
        <mc:AlternateContent>
          <mc:Choice Requires="wps">
            <w:drawing>
              <wp:anchor distT="0" distB="0" distL="114300" distR="114300" simplePos="0" relativeHeight="251664384" behindDoc="0" locked="0" layoutInCell="1" allowOverlap="1" wp14:anchorId="646FC209" wp14:editId="2E73CE3A">
                <wp:simplePos x="0" y="0"/>
                <wp:positionH relativeFrom="margin">
                  <wp:posOffset>668867</wp:posOffset>
                </wp:positionH>
                <wp:positionV relativeFrom="paragraph">
                  <wp:posOffset>220768</wp:posOffset>
                </wp:positionV>
                <wp:extent cx="4594558" cy="704295"/>
                <wp:effectExtent l="0" t="0" r="0" b="0"/>
                <wp:wrapNone/>
                <wp:docPr id="21" name="TextBox 11"/>
                <wp:cNvGraphicFramePr/>
                <a:graphic xmlns:a="http://schemas.openxmlformats.org/drawingml/2006/main">
                  <a:graphicData uri="http://schemas.microsoft.com/office/word/2010/wordprocessingShape">
                    <wps:wsp>
                      <wps:cNvSpPr txBox="1"/>
                      <wps:spPr>
                        <a:xfrm>
                          <a:off x="0" y="0"/>
                          <a:ext cx="4594558" cy="704295"/>
                        </a:xfrm>
                        <a:prstGeom prst="rect">
                          <a:avLst/>
                        </a:prstGeom>
                        <a:noFill/>
                      </wps:spPr>
                      <wps:txbx>
                        <w:txbxContent>
                          <w:p w:rsidR="00A5288C" w:rsidRPr="002F2763" w:rsidRDefault="00A5288C" w:rsidP="00A5288C">
                            <w:pPr>
                              <w:pStyle w:val="NormalWeb"/>
                              <w:spacing w:before="0" w:beforeAutospacing="0" w:after="0" w:afterAutospacing="0"/>
                            </w:pPr>
                            <w:r>
                              <w:rPr>
                                <w:rFonts w:ascii="Calibri" w:hAnsi="Calibri" w:cstheme="minorBidi"/>
                                <w:color w:val="000000"/>
                                <w:kern w:val="24"/>
                              </w:rPr>
                              <w:t xml:space="preserve">Multiply by </w:t>
                            </w:r>
                            <m:oMath>
                              <m:f>
                                <m:fPr>
                                  <m:ctrlPr>
                                    <w:rPr>
                                      <w:rFonts w:ascii="Cambria Math" w:eastAsia="Cambria Math" w:hAnsi="Cambria Math" w:cstheme="minorBidi"/>
                                      <w:i/>
                                      <w:iCs/>
                                      <w:color w:val="000000" w:themeColor="text1"/>
                                      <w:kern w:val="24"/>
                                    </w:rPr>
                                  </m:ctrlPr>
                                </m:fPr>
                                <m:num>
                                  <m:r>
                                    <w:rPr>
                                      <w:rFonts w:ascii="Cambria Math" w:eastAsia="Cambria Math" w:hAnsi="Cambria Math" w:cstheme="minorBidi"/>
                                      <w:color w:val="000000" w:themeColor="text1"/>
                                      <w:kern w:val="24"/>
                                    </w:rPr>
                                    <m:t>1440</m:t>
                                  </m:r>
                                </m:num>
                                <m:den>
                                  <m:r>
                                    <w:rPr>
                                      <w:rFonts w:ascii="Cambria Math" w:eastAsia="Cambria Math" w:hAnsi="Cambria Math" w:cstheme="minorBidi"/>
                                      <w:color w:val="000000" w:themeColor="text1"/>
                                      <w:kern w:val="24"/>
                                    </w:rPr>
                                    <m:t>1000</m:t>
                                  </m:r>
                                </m:den>
                              </m:f>
                            </m:oMath>
                            <w:r w:rsidR="003C402A">
                              <w:rPr>
                                <w:rFonts w:ascii="Calibri" w:hAnsi="Calibri" w:cstheme="minorBidi"/>
                                <w:iCs/>
                                <w:color w:val="000000" w:themeColor="text1"/>
                                <w:kern w:val="24"/>
                              </w:rPr>
                              <w:t xml:space="preserve"> because </w:t>
                            </w:r>
                            <w:r>
                              <w:rPr>
                                <w:rFonts w:ascii="Calibri" w:eastAsia="Cambria Math" w:hAnsi="Calibri" w:cstheme="minorBidi"/>
                                <w:color w:val="000000"/>
                                <w:kern w:val="24"/>
                              </w:rPr>
                              <w:t xml:space="preserve">1 </w:t>
                            </w:r>
                            <w:r w:rsidRPr="002F2763">
                              <w:rPr>
                                <w:rFonts w:ascii="Calibri" w:eastAsia="Cambria Math" w:hAnsi="Calibri" w:cstheme="minorBidi"/>
                                <w:color w:val="000000"/>
                                <w:kern w:val="24"/>
                              </w:rPr>
                              <w:t xml:space="preserve">µg/min </w:t>
                            </w:r>
                            <w:r>
                              <w:rPr>
                                <w:rFonts w:ascii="Calibri" w:eastAsia="Cambria Math" w:hAnsi="Calibri" w:cstheme="minorBidi"/>
                                <w:color w:val="000000"/>
                                <w:kern w:val="24"/>
                              </w:rPr>
                              <w:t xml:space="preserve">= </w:t>
                            </w:r>
                            <m:oMath>
                              <m:f>
                                <m:fPr>
                                  <m:ctrlPr>
                                    <w:rPr>
                                      <w:rFonts w:ascii="Cambria Math" w:eastAsia="Cambria Math" w:hAnsi="Cambria Math" w:cstheme="minorBidi"/>
                                      <w:i/>
                                      <w:iCs/>
                                      <w:color w:val="000000" w:themeColor="text1"/>
                                      <w:kern w:val="24"/>
                                    </w:rPr>
                                  </m:ctrlPr>
                                </m:fPr>
                                <m:num>
                                  <m:r>
                                    <w:rPr>
                                      <w:rFonts w:ascii="Cambria Math" w:eastAsia="Cambria Math" w:hAnsi="Cambria Math" w:cstheme="minorBidi"/>
                                      <w:color w:val="000000" w:themeColor="text1"/>
                                      <w:kern w:val="24"/>
                                    </w:rPr>
                                    <m:t>1</m:t>
                                  </m:r>
                                </m:num>
                                <m:den>
                                  <m:r>
                                    <w:rPr>
                                      <w:rFonts w:ascii="Cambria Math" w:eastAsia="Cambria Math" w:hAnsi="Cambria Math" w:cstheme="minorBidi"/>
                                      <w:color w:val="000000" w:themeColor="text1"/>
                                      <w:kern w:val="24"/>
                                    </w:rPr>
                                    <m:t>1000</m:t>
                                  </m:r>
                                </m:den>
                              </m:f>
                            </m:oMath>
                            <w:r w:rsidRPr="002F2763">
                              <w:rPr>
                                <w:rFonts w:ascii="Calibri" w:hAnsi="Calibri" w:cstheme="minorBidi"/>
                                <w:color w:val="000000"/>
                                <w:kern w:val="24"/>
                              </w:rPr>
                              <w:t xml:space="preserve"> mg/</w:t>
                            </w:r>
                            <w:r>
                              <w:rPr>
                                <w:rFonts w:ascii="Calibri" w:hAnsi="Calibri" w:cstheme="minorBidi"/>
                                <w:color w:val="000000"/>
                                <w:kern w:val="24"/>
                              </w:rPr>
                              <w:t xml:space="preserve">min =  </w:t>
                            </w:r>
                            <m:oMath>
                              <m:f>
                                <m:fPr>
                                  <m:ctrlPr>
                                    <w:rPr>
                                      <w:rFonts w:ascii="Cambria Math" w:eastAsia="Cambria Math" w:hAnsi="Cambria Math" w:cstheme="minorBidi"/>
                                      <w:i/>
                                      <w:iCs/>
                                      <w:color w:val="000000" w:themeColor="text1"/>
                                      <w:kern w:val="24"/>
                                    </w:rPr>
                                  </m:ctrlPr>
                                </m:fPr>
                                <m:num>
                                  <m:r>
                                    <w:rPr>
                                      <w:rFonts w:ascii="Cambria Math" w:eastAsia="Cambria Math" w:hAnsi="Cambria Math" w:cstheme="minorBidi"/>
                                      <w:color w:val="000000" w:themeColor="text1"/>
                                      <w:kern w:val="24"/>
                                    </w:rPr>
                                    <m:t>1440</m:t>
                                  </m:r>
                                </m:num>
                                <m:den>
                                  <m:r>
                                    <w:rPr>
                                      <w:rFonts w:ascii="Cambria Math" w:eastAsia="Cambria Math" w:hAnsi="Cambria Math" w:cstheme="minorBidi"/>
                                      <w:color w:val="000000" w:themeColor="text1"/>
                                      <w:kern w:val="24"/>
                                    </w:rPr>
                                    <m:t>1000</m:t>
                                  </m:r>
                                </m:den>
                              </m:f>
                            </m:oMath>
                            <w:r>
                              <w:rPr>
                                <w:rFonts w:ascii="Calibri" w:hAnsi="Calibri" w:cstheme="minorBidi"/>
                                <w:color w:val="000000"/>
                                <w:kern w:val="24"/>
                              </w:rPr>
                              <w:t xml:space="preserve"> mg/24hrs </w:t>
                            </w:r>
                          </w:p>
                        </w:txbxContent>
                      </wps:txbx>
                      <wps:bodyPr wrap="square" rtlCol="0">
                        <a:spAutoFit/>
                      </wps:bodyPr>
                    </wps:wsp>
                  </a:graphicData>
                </a:graphic>
              </wp:anchor>
            </w:drawing>
          </mc:Choice>
          <mc:Fallback>
            <w:pict>
              <v:shape w14:anchorId="646FC209" id="TextBox 11" o:spid="_x0000_s1027" type="#_x0000_t202" style="position:absolute;left:0;text-align:left;margin-left:52.65pt;margin-top:17.4pt;width:361.8pt;height:55.4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" filled="f" stroked="f">
                <v:textbox style="mso-fit-shape-to-text:t">
                  <w:txbxContent>
                    <w:p w:rsidR="00A5288C" w:rsidRPr="002F2763" w:rsidRDefault="00A5288C" w:rsidP="00A5288C">
                      <w:pPr>
                        <w:pStyle w:val="NormalWeb"/>
                        <w:spacing w:before="0" w:beforeAutospacing="0" w:after="0" w:afterAutospacing="0"/>
                      </w:pPr>
                      <w:r>
                        <w:rPr>
                          <w:rFonts w:ascii="Calibri" w:hAnsi="Calibri" w:cstheme="minorBidi"/>
                          <w:color w:val="000000"/>
                          <w:kern w:val="24"/>
                        </w:rPr>
                        <w:t xml:space="preserve">Multiply by </w:t>
                      </w:r>
                      <m:oMath>
                        <m:f>
                          <m:fPr>
                            <m:ctrlPr>
                              <w:rPr>
                                <w:rFonts w:ascii="Cambria Math" w:eastAsia="Cambria Math" w:hAnsi="Cambria Math" w:cstheme="minorBidi"/>
                                <w:i/>
                                <w:iCs/>
                                <w:color w:val="000000" w:themeColor="text1"/>
                                <w:kern w:val="24"/>
                              </w:rPr>
                            </m:ctrlPr>
                          </m:fPr>
                          <m:num>
                            <m:r>
                              <w:rPr>
                                <w:rFonts w:ascii="Cambria Math" w:eastAsia="Cambria Math" w:hAnsi="Cambria Math" w:cstheme="minorBidi"/>
                                <w:color w:val="000000" w:themeColor="text1"/>
                                <w:kern w:val="24"/>
                              </w:rPr>
                              <m:t>1440</m:t>
                            </m:r>
                          </m:num>
                          <m:den>
                            <m:r>
                              <w:rPr>
                                <w:rFonts w:ascii="Cambria Math" w:eastAsia="Cambria Math" w:hAnsi="Cambria Math" w:cstheme="minorBidi"/>
                                <w:color w:val="000000" w:themeColor="text1"/>
                                <w:kern w:val="24"/>
                              </w:rPr>
                              <m:t>1000</m:t>
                            </m:r>
                          </m:den>
                        </m:f>
                      </m:oMath>
                      <w:r w:rsidR="003C402A">
                        <w:rPr>
                          <w:rFonts w:ascii="Calibri" w:hAnsi="Calibri" w:cstheme="minorBidi"/>
                          <w:iCs/>
                          <w:color w:val="000000" w:themeColor="text1"/>
                          <w:kern w:val="24"/>
                        </w:rPr>
                        <w:t xml:space="preserve"> because </w:t>
                      </w:r>
                      <w:r>
                        <w:rPr>
                          <w:rFonts w:ascii="Calibri" w:eastAsia="Cambria Math" w:hAnsi="Calibri" w:cstheme="minorBidi"/>
                          <w:color w:val="000000"/>
                          <w:kern w:val="24"/>
                        </w:rPr>
                        <w:t xml:space="preserve">1 </w:t>
                      </w:r>
                      <w:r w:rsidRPr="002F2763">
                        <w:rPr>
                          <w:rFonts w:ascii="Calibri" w:eastAsia="Cambria Math" w:hAnsi="Calibri" w:cstheme="minorBidi"/>
                          <w:color w:val="000000"/>
                          <w:kern w:val="24"/>
                        </w:rPr>
                        <w:t xml:space="preserve">µg/min </w:t>
                      </w:r>
                      <w:r>
                        <w:rPr>
                          <w:rFonts w:ascii="Calibri" w:eastAsia="Cambria Math" w:hAnsi="Calibri" w:cstheme="minorBidi"/>
                          <w:color w:val="000000"/>
                          <w:kern w:val="24"/>
                        </w:rPr>
                        <w:t xml:space="preserve">= </w:t>
                      </w:r>
                      <m:oMath>
                        <m:f>
                          <m:fPr>
                            <m:ctrlPr>
                              <w:rPr>
                                <w:rFonts w:ascii="Cambria Math" w:eastAsia="Cambria Math" w:hAnsi="Cambria Math" w:cstheme="minorBidi"/>
                                <w:i/>
                                <w:iCs/>
                                <w:color w:val="000000" w:themeColor="text1"/>
                                <w:kern w:val="24"/>
                              </w:rPr>
                            </m:ctrlPr>
                          </m:fPr>
                          <m:num>
                            <m:r>
                              <w:rPr>
                                <w:rFonts w:ascii="Cambria Math" w:eastAsia="Cambria Math" w:hAnsi="Cambria Math" w:cstheme="minorBidi"/>
                                <w:color w:val="000000" w:themeColor="text1"/>
                                <w:kern w:val="24"/>
                              </w:rPr>
                              <m:t>1</m:t>
                            </m:r>
                          </m:num>
                          <m:den>
                            <m:r>
                              <w:rPr>
                                <w:rFonts w:ascii="Cambria Math" w:eastAsia="Cambria Math" w:hAnsi="Cambria Math" w:cstheme="minorBidi"/>
                                <w:color w:val="000000" w:themeColor="text1"/>
                                <w:kern w:val="24"/>
                              </w:rPr>
                              <m:t>1000</m:t>
                            </m:r>
                          </m:den>
                        </m:f>
                      </m:oMath>
                      <w:r w:rsidRPr="002F2763">
                        <w:rPr>
                          <w:rFonts w:ascii="Calibri" w:hAnsi="Calibri" w:cstheme="minorBidi"/>
                          <w:color w:val="000000"/>
                          <w:kern w:val="24"/>
                        </w:rPr>
                        <w:t xml:space="preserve"> mg/</w:t>
                      </w:r>
                      <w:r>
                        <w:rPr>
                          <w:rFonts w:ascii="Calibri" w:hAnsi="Calibri" w:cstheme="minorBidi"/>
                          <w:color w:val="000000"/>
                          <w:kern w:val="24"/>
                        </w:rPr>
                        <w:t xml:space="preserve">min =  </w:t>
                      </w:r>
                      <m:oMath>
                        <m:f>
                          <m:fPr>
                            <m:ctrlPr>
                              <w:rPr>
                                <w:rFonts w:ascii="Cambria Math" w:eastAsia="Cambria Math" w:hAnsi="Cambria Math" w:cstheme="minorBidi"/>
                                <w:i/>
                                <w:iCs/>
                                <w:color w:val="000000" w:themeColor="text1"/>
                                <w:kern w:val="24"/>
                              </w:rPr>
                            </m:ctrlPr>
                          </m:fPr>
                          <m:num>
                            <m:r>
                              <w:rPr>
                                <w:rFonts w:ascii="Cambria Math" w:eastAsia="Cambria Math" w:hAnsi="Cambria Math" w:cstheme="minorBidi"/>
                                <w:color w:val="000000" w:themeColor="text1"/>
                                <w:kern w:val="24"/>
                              </w:rPr>
                              <m:t>1440</m:t>
                            </m:r>
                          </m:num>
                          <m:den>
                            <m:r>
                              <w:rPr>
                                <w:rFonts w:ascii="Cambria Math" w:eastAsia="Cambria Math" w:hAnsi="Cambria Math" w:cstheme="minorBidi"/>
                                <w:color w:val="000000" w:themeColor="text1"/>
                                <w:kern w:val="24"/>
                              </w:rPr>
                              <m:t>1000</m:t>
                            </m:r>
                          </m:den>
                        </m:f>
                      </m:oMath>
                      <w:r>
                        <w:rPr>
                          <w:rFonts w:ascii="Calibri" w:hAnsi="Calibri" w:cstheme="minorBidi"/>
                          <w:color w:val="000000"/>
                          <w:kern w:val="24"/>
                        </w:rPr>
                        <w:t xml:space="preserve"> mg/24hrs </w:t>
                      </w:r>
                    </w:p>
                  </w:txbxContent>
                </v:textbox>
                <w10:wrap anchorx="margin"/>
              </v:shape>
            </w:pict>
          </mc:Fallback>
        </mc:AlternateContent>
      </w:r>
      <w:r>
        <w:t>and t</w:t>
      </w:r>
      <w:r w:rsidR="00256FE3">
        <w:t>o</w:t>
      </w:r>
      <w:r w:rsidR="00256FE3" w:rsidRPr="00256FE3">
        <w:t xml:space="preserve"> convert </w:t>
      </w:r>
      <w:r w:rsidR="00256FE3" w:rsidRPr="001C100F">
        <w:rPr>
          <w:rFonts w:ascii="Calibri" w:hAnsi="Calibri"/>
          <w:color w:val="000000"/>
          <w:kern w:val="24"/>
        </w:rPr>
        <w:t xml:space="preserve">µg/min to mg/24hr </w:t>
      </w:r>
    </w:p>
    <w:p w:rsidR="00A5288C" w:rsidRPr="00256FE3" w:rsidRDefault="00A5288C" w:rsidP="001C100F">
      <w:pPr>
        <w:ind w:left="360"/>
      </w:pPr>
    </w:p>
    <w:p w:rsidR="00B80437" w:rsidRDefault="00B80437" w:rsidP="001C100F">
      <w:pPr>
        <w:ind w:left="360"/>
      </w:pPr>
    </w:p>
    <w:p w:rsidR="00591B3E" w:rsidRDefault="00B80437" w:rsidP="005D77DF">
      <w:pPr>
        <w:pStyle w:val="ListParagraph"/>
      </w:pPr>
      <w:r>
        <w:t xml:space="preserve">Online convertors are </w:t>
      </w:r>
      <w:r w:rsidR="00591B3E">
        <w:t xml:space="preserve">very </w:t>
      </w:r>
      <w:r>
        <w:t>useful for finding out the conversion factors but, just like with calculators, you need to documen</w:t>
      </w:r>
      <w:r w:rsidR="00E76826">
        <w:t>t your calculation</w:t>
      </w:r>
      <w:r w:rsidR="007D113B">
        <w:t>s</w:t>
      </w:r>
      <w:r w:rsidR="00E76826">
        <w:t xml:space="preserve">. </w:t>
      </w:r>
      <w:r w:rsidR="00591B3E">
        <w:t>Also, note</w:t>
      </w:r>
      <w:r w:rsidR="00E76826">
        <w:t xml:space="preserve"> that conversion factors may vary</w:t>
      </w:r>
      <w:r w:rsidR="00591B3E">
        <w:t xml:space="preserve"> according to what you’re converting. For example</w:t>
      </w:r>
      <w:r w:rsidR="007D113B">
        <w:t>,</w:t>
      </w:r>
    </w:p>
    <w:p w:rsidR="00591B3E" w:rsidRDefault="00591B3E" w:rsidP="005D77DF">
      <w:pPr>
        <w:pStyle w:val="ListParagraph"/>
      </w:pPr>
      <w:r>
        <w:t xml:space="preserve">1 mg/dL converts to 88.4 </w:t>
      </w:r>
      <w:proofErr w:type="spellStart"/>
      <w:r>
        <w:t>μmol</w:t>
      </w:r>
      <w:proofErr w:type="spellEnd"/>
      <w:r>
        <w:t xml:space="preserve">/L for creatinine but 17.1 </w:t>
      </w:r>
      <w:proofErr w:type="spellStart"/>
      <w:r>
        <w:t>μmol</w:t>
      </w:r>
      <w:proofErr w:type="spellEnd"/>
      <w:r>
        <w:t>/ L for bilirubin.</w:t>
      </w:r>
    </w:p>
    <w:p w:rsidR="00256FE3" w:rsidRDefault="00142B71" w:rsidP="005D77DF">
      <w:pPr>
        <w:pStyle w:val="ListParagraph"/>
      </w:pPr>
      <w:hyperlink r:id="rId11" w:history="1">
        <w:r w:rsidR="00E76826" w:rsidRPr="00317BE4">
          <w:rPr>
            <w:rStyle w:val="Hyperlink"/>
          </w:rPr>
          <w:t>http://www.endmemo.com/medical/unitconvert</w:t>
        </w:r>
      </w:hyperlink>
    </w:p>
    <w:p w:rsidR="000C7E15" w:rsidRPr="000C7E15" w:rsidRDefault="000C7E15" w:rsidP="000C7E15"/>
    <w:p w:rsidR="000C7E15" w:rsidRDefault="000C7E15" w:rsidP="001C100F">
      <w:pPr>
        <w:pStyle w:val="ListParagraph"/>
        <w:numPr>
          <w:ilvl w:val="0"/>
          <w:numId w:val="16"/>
        </w:numPr>
      </w:pPr>
      <w:r w:rsidRPr="000C7E15">
        <w:rPr>
          <w:b/>
        </w:rPr>
        <w:t>Look out for dropouts</w:t>
      </w:r>
      <w:r>
        <w:t xml:space="preserve">. When dealing with clinical trial data, </w:t>
      </w:r>
      <w:r w:rsidR="00A578D7">
        <w:t xml:space="preserve">for each treatment arm, </w:t>
      </w:r>
      <w:r>
        <w:t>you</w:t>
      </w:r>
      <w:r w:rsidR="00B5122D">
        <w:t xml:space="preserve"> need to establish how many patients </w:t>
      </w:r>
      <w:r w:rsidR="004F74E8">
        <w:t xml:space="preserve">relate to the </w:t>
      </w:r>
      <w:r w:rsidR="00B5122D">
        <w:t xml:space="preserve">summary data </w:t>
      </w:r>
      <w:r w:rsidR="004F74E8">
        <w:t xml:space="preserve">that you’ve extracted. If you’ve extracted baseline data, then you can find the number of patients in each treatment arm in the </w:t>
      </w:r>
      <w:hyperlink r:id="rId12" w:history="1">
        <w:r w:rsidR="00A578D7" w:rsidRPr="00A578D7">
          <w:rPr>
            <w:rStyle w:val="Hyperlink"/>
          </w:rPr>
          <w:t>CONSORT</w:t>
        </w:r>
      </w:hyperlink>
      <w:r w:rsidR="00A578D7">
        <w:t xml:space="preserve"> </w:t>
      </w:r>
      <w:r w:rsidR="004F74E8">
        <w:t xml:space="preserve">flow </w:t>
      </w:r>
      <w:r w:rsidR="00A578D7">
        <w:t xml:space="preserve">diagram. If you are extracting data for change from baseline or endpoint data you need to check </w:t>
      </w:r>
      <w:r w:rsidR="00CF1D08">
        <w:t xml:space="preserve">for reports of the number of patients in each group who have not completed follow-up. </w:t>
      </w:r>
      <w:r w:rsidR="00A578D7">
        <w:t xml:space="preserve">  </w:t>
      </w:r>
      <w:r w:rsidR="004F74E8">
        <w:t xml:space="preserve">  </w:t>
      </w:r>
      <w:r>
        <w:t xml:space="preserve"> </w:t>
      </w:r>
    </w:p>
    <w:p w:rsidR="000C7E15" w:rsidRPr="000C7E15" w:rsidRDefault="000C7E15" w:rsidP="000C7E15"/>
    <w:p w:rsidR="0077377A" w:rsidRDefault="0077377A" w:rsidP="001C100F">
      <w:pPr>
        <w:pStyle w:val="ListParagraph"/>
        <w:numPr>
          <w:ilvl w:val="0"/>
          <w:numId w:val="16"/>
        </w:numPr>
      </w:pPr>
      <w:r w:rsidRPr="001C100F">
        <w:rPr>
          <w:b/>
        </w:rPr>
        <w:t>Automate as much as you can</w:t>
      </w:r>
      <w:r>
        <w:t xml:space="preserve">. </w:t>
      </w:r>
      <w:r w:rsidRPr="0077377A">
        <w:t xml:space="preserve">Calculations coded (written) in a computer program </w:t>
      </w:r>
      <w:r>
        <w:t xml:space="preserve">can </w:t>
      </w:r>
      <w:r w:rsidR="00B77CA1">
        <w:t xml:space="preserve">easily checked for errors and these calculations can </w:t>
      </w:r>
      <w:r>
        <w:t>be repeatedly rerun, without introducing human error</w:t>
      </w:r>
      <w:r w:rsidR="00CF1D08">
        <w:t>s</w:t>
      </w:r>
      <w:r w:rsidR="00B77CA1">
        <w:t>.</w:t>
      </w:r>
      <w:r>
        <w:t xml:space="preserve"> </w:t>
      </w:r>
    </w:p>
    <w:p w:rsidR="00151852" w:rsidRDefault="00151852" w:rsidP="00151852"/>
    <w:p w:rsidR="00151852" w:rsidRDefault="00151852" w:rsidP="00151852">
      <w:pPr>
        <w:pStyle w:val="ListParagraph"/>
        <w:numPr>
          <w:ilvl w:val="0"/>
          <w:numId w:val="16"/>
        </w:numPr>
      </w:pPr>
      <w:r w:rsidRPr="00151852">
        <w:rPr>
          <w:b/>
        </w:rPr>
        <w:t xml:space="preserve">Don’t exclude studies just because the data you want </w:t>
      </w:r>
      <w:r w:rsidR="003C2FEB">
        <w:rPr>
          <w:b/>
        </w:rPr>
        <w:t>are</w:t>
      </w:r>
      <w:r w:rsidRPr="00151852">
        <w:rPr>
          <w:b/>
        </w:rPr>
        <w:t xml:space="preserve"> not reported</w:t>
      </w:r>
      <w:r>
        <w:t xml:space="preserve">.  Try to make sensible estimates from the given data so that </w:t>
      </w:r>
      <w:r w:rsidR="00A578D7">
        <w:t>as many s</w:t>
      </w:r>
      <w:r>
        <w:t xml:space="preserve">tudies </w:t>
      </w:r>
      <w:r w:rsidR="00A578D7">
        <w:t xml:space="preserve">as possible that meet your eligibility criteria </w:t>
      </w:r>
      <w:r>
        <w:t>are included in the meta-analysis.</w:t>
      </w:r>
      <w:r w:rsidR="00EA14B0">
        <w:t xml:space="preserve"> </w:t>
      </w:r>
      <w:r w:rsidR="003C2FEB">
        <w:t>Follow my blog to find out how to convert data from what you’</w:t>
      </w:r>
      <w:r w:rsidR="002B2F5A">
        <w:t>re given into what you want.</w:t>
      </w:r>
    </w:p>
    <w:p w:rsidR="00E16F7A" w:rsidRDefault="00E16F7A" w:rsidP="001C100F"/>
    <w:p w:rsidR="007C357D" w:rsidRDefault="001C100F" w:rsidP="001C100F">
      <w:pPr>
        <w:pStyle w:val="ListParagraph"/>
        <w:numPr>
          <w:ilvl w:val="0"/>
          <w:numId w:val="16"/>
        </w:numPr>
      </w:pPr>
      <w:r w:rsidRPr="001C100F">
        <w:rPr>
          <w:b/>
        </w:rPr>
        <w:t xml:space="preserve">Be careful when there’s more than </w:t>
      </w:r>
      <w:r w:rsidR="007C357D" w:rsidRPr="001C100F">
        <w:rPr>
          <w:b/>
        </w:rPr>
        <w:t>one intervention group.</w:t>
      </w:r>
      <w:r w:rsidR="007C357D">
        <w:t xml:space="preserve"> </w:t>
      </w:r>
      <w:r w:rsidR="007C357D" w:rsidRPr="00CD7517">
        <w:t>Sometimes a trial may report more than one interven</w:t>
      </w:r>
      <w:r>
        <w:t xml:space="preserve">tion group and a control group. </w:t>
      </w:r>
      <w:r w:rsidR="007C357D" w:rsidRPr="00CD7517">
        <w:t>For example</w:t>
      </w:r>
      <w:r w:rsidR="007C357D">
        <w:t>,</w:t>
      </w:r>
      <w:r w:rsidR="007C357D" w:rsidRPr="00CD7517">
        <w:t xml:space="preserve"> in a </w:t>
      </w:r>
      <w:hyperlink r:id="rId13" w:history="1">
        <w:r w:rsidR="007C357D" w:rsidRPr="00502D20">
          <w:rPr>
            <w:rStyle w:val="Hyperlink"/>
          </w:rPr>
          <w:t>trial</w:t>
        </w:r>
      </w:hyperlink>
      <w:r w:rsidR="007C357D" w:rsidRPr="00CD7517">
        <w:t xml:space="preserve"> of patients with type 2 diabetes Goldstein et al (2007) reported the effects of two glycaemic controlling </w:t>
      </w:r>
      <w:r w:rsidR="007C357D" w:rsidRPr="00CD7517">
        <w:lastRenderedPageBreak/>
        <w:t>drugs</w:t>
      </w:r>
      <w:r w:rsidR="007C357D">
        <w:t>,</w:t>
      </w:r>
      <w:r w:rsidR="007C357D" w:rsidRPr="00CD7517">
        <w:t xml:space="preserve"> </w:t>
      </w:r>
      <w:r w:rsidR="007C357D">
        <w:t>Sitagliptin and Metformin,</w:t>
      </w:r>
      <w:r w:rsidR="007C357D" w:rsidRPr="00CD7517">
        <w:t xml:space="preserve"> on </w:t>
      </w:r>
      <w:proofErr w:type="spellStart"/>
      <w:r w:rsidR="007C357D" w:rsidRPr="00CD7517">
        <w:t>HbAiC</w:t>
      </w:r>
      <w:proofErr w:type="spellEnd"/>
      <w:r w:rsidR="007C357D" w:rsidRPr="00CD7517">
        <w:t xml:space="preserve"> levels</w:t>
      </w:r>
      <w:r w:rsidR="007C357D">
        <w:t xml:space="preserve"> (Table). </w:t>
      </w:r>
      <w:proofErr w:type="spellStart"/>
      <w:r w:rsidR="007C357D" w:rsidRPr="00CD7517">
        <w:t>HbAiC</w:t>
      </w:r>
      <w:proofErr w:type="spellEnd"/>
      <w:r w:rsidR="007C357D" w:rsidRPr="00CD7517">
        <w:t xml:space="preserve"> levels </w:t>
      </w:r>
      <w:r w:rsidR="007C357D">
        <w:t xml:space="preserve">are </w:t>
      </w:r>
      <w:r w:rsidR="007C357D" w:rsidRPr="00CD7517">
        <w:t>routinely measured in patients with diabetes to establish how well their diabetes is controlled</w:t>
      </w:r>
      <w:r w:rsidR="007C357D">
        <w:t xml:space="preserve">. </w:t>
      </w:r>
    </w:p>
    <w:p w:rsidR="005B7B62" w:rsidRDefault="005B7B62" w:rsidP="005B7B62">
      <w:pPr>
        <w:spacing w:after="160" w:line="259" w:lineRule="auto"/>
        <w:jc w:val="left"/>
      </w:pPr>
    </w:p>
    <w:p w:rsidR="007C357D" w:rsidRDefault="007C357D" w:rsidP="005B7B62">
      <w:pPr>
        <w:spacing w:after="160" w:line="259" w:lineRule="auto"/>
        <w:ind w:left="720"/>
        <w:jc w:val="left"/>
      </w:pPr>
      <w:r>
        <w:t>Table. Two intervention groups</w:t>
      </w:r>
    </w:p>
    <w:tbl>
      <w:tblPr>
        <w:tblStyle w:val="TableGrid"/>
        <w:tblW w:w="0" w:type="auto"/>
        <w:tblInd w:w="704" w:type="dxa"/>
        <w:tblLook w:val="04A0" w:firstRow="1" w:lastRow="0" w:firstColumn="1" w:lastColumn="0" w:noHBand="0" w:noVBand="1"/>
      </w:tblPr>
      <w:tblGrid>
        <w:gridCol w:w="2410"/>
        <w:gridCol w:w="1984"/>
        <w:gridCol w:w="2268"/>
        <w:gridCol w:w="2262"/>
      </w:tblGrid>
      <w:tr w:rsidR="007C357D" w:rsidTr="003C2FEB">
        <w:tc>
          <w:tcPr>
            <w:tcW w:w="2410" w:type="dxa"/>
            <w:tcBorders>
              <w:top w:val="single" w:sz="4" w:space="0" w:color="auto"/>
              <w:left w:val="single" w:sz="4" w:space="0" w:color="auto"/>
              <w:bottom w:val="single" w:sz="4" w:space="0" w:color="auto"/>
              <w:right w:val="single" w:sz="4" w:space="0" w:color="auto"/>
            </w:tcBorders>
          </w:tcPr>
          <w:p w:rsidR="007C357D" w:rsidRDefault="007C357D" w:rsidP="00D13742">
            <w:proofErr w:type="spellStart"/>
            <w:r>
              <w:t>HbAiC</w:t>
            </w:r>
            <w:proofErr w:type="spellEnd"/>
          </w:p>
        </w:tc>
        <w:tc>
          <w:tcPr>
            <w:tcW w:w="1984" w:type="dxa"/>
            <w:tcBorders>
              <w:top w:val="single" w:sz="4" w:space="0" w:color="auto"/>
              <w:left w:val="single" w:sz="4" w:space="0" w:color="auto"/>
              <w:bottom w:val="single" w:sz="4" w:space="0" w:color="auto"/>
              <w:right w:val="single" w:sz="4" w:space="0" w:color="auto"/>
            </w:tcBorders>
          </w:tcPr>
          <w:p w:rsidR="007C357D" w:rsidRDefault="007C357D" w:rsidP="00D13742">
            <w:r>
              <w:t>Placebo</w:t>
            </w:r>
          </w:p>
          <w:p w:rsidR="007C357D" w:rsidRDefault="007C357D" w:rsidP="00D13742">
            <w:r>
              <w:t>(n=165)</w:t>
            </w:r>
          </w:p>
        </w:tc>
        <w:tc>
          <w:tcPr>
            <w:tcW w:w="2268" w:type="dxa"/>
            <w:tcBorders>
              <w:top w:val="single" w:sz="4" w:space="0" w:color="auto"/>
              <w:left w:val="single" w:sz="4" w:space="0" w:color="auto"/>
              <w:bottom w:val="single" w:sz="4" w:space="0" w:color="auto"/>
              <w:right w:val="single" w:sz="4" w:space="0" w:color="auto"/>
            </w:tcBorders>
          </w:tcPr>
          <w:p w:rsidR="007C357D" w:rsidRDefault="007C357D" w:rsidP="00D13742">
            <w:r>
              <w:t>Sitagliptin</w:t>
            </w:r>
          </w:p>
          <w:p w:rsidR="007C357D" w:rsidRDefault="007C357D" w:rsidP="00D13742">
            <w:r>
              <w:t>(n=175)</w:t>
            </w:r>
          </w:p>
        </w:tc>
        <w:tc>
          <w:tcPr>
            <w:tcW w:w="2262" w:type="dxa"/>
            <w:tcBorders>
              <w:top w:val="single" w:sz="4" w:space="0" w:color="auto"/>
              <w:left w:val="single" w:sz="4" w:space="0" w:color="auto"/>
              <w:bottom w:val="single" w:sz="4" w:space="0" w:color="auto"/>
              <w:right w:val="single" w:sz="4" w:space="0" w:color="auto"/>
            </w:tcBorders>
          </w:tcPr>
          <w:p w:rsidR="007C357D" w:rsidRDefault="007C357D" w:rsidP="00D13742">
            <w:r>
              <w:t>Metformin</w:t>
            </w:r>
          </w:p>
          <w:p w:rsidR="007C357D" w:rsidRDefault="007C357D" w:rsidP="00D13742">
            <w:r>
              <w:t>(n=178)</w:t>
            </w:r>
          </w:p>
        </w:tc>
      </w:tr>
      <w:tr w:rsidR="007C357D" w:rsidTr="003C2FEB">
        <w:tc>
          <w:tcPr>
            <w:tcW w:w="2410" w:type="dxa"/>
            <w:tcBorders>
              <w:top w:val="single" w:sz="4" w:space="0" w:color="auto"/>
            </w:tcBorders>
          </w:tcPr>
          <w:p w:rsidR="007C357D" w:rsidRDefault="007C357D" w:rsidP="00D13742">
            <w:r>
              <w:t>Baseline</w:t>
            </w:r>
          </w:p>
        </w:tc>
        <w:tc>
          <w:tcPr>
            <w:tcW w:w="1984" w:type="dxa"/>
            <w:tcBorders>
              <w:top w:val="single" w:sz="4" w:space="0" w:color="auto"/>
            </w:tcBorders>
          </w:tcPr>
          <w:p w:rsidR="007C357D" w:rsidRDefault="007C357D" w:rsidP="00D13742">
            <w:r>
              <w:t>8.68 (1.00)</w:t>
            </w:r>
          </w:p>
        </w:tc>
        <w:tc>
          <w:tcPr>
            <w:tcW w:w="2268" w:type="dxa"/>
            <w:tcBorders>
              <w:top w:val="single" w:sz="4" w:space="0" w:color="auto"/>
            </w:tcBorders>
          </w:tcPr>
          <w:p w:rsidR="007C357D" w:rsidRDefault="007C357D" w:rsidP="00D13742">
            <w:r>
              <w:t>8.87 (0.99)</w:t>
            </w:r>
          </w:p>
        </w:tc>
        <w:tc>
          <w:tcPr>
            <w:tcW w:w="2262" w:type="dxa"/>
            <w:tcBorders>
              <w:top w:val="single" w:sz="4" w:space="0" w:color="auto"/>
            </w:tcBorders>
          </w:tcPr>
          <w:p w:rsidR="007C357D" w:rsidRDefault="007C357D" w:rsidP="00D13742">
            <w:r>
              <w:t>8.90 (1.00)</w:t>
            </w:r>
          </w:p>
        </w:tc>
      </w:tr>
      <w:tr w:rsidR="007C357D" w:rsidTr="005D77DF">
        <w:tc>
          <w:tcPr>
            <w:tcW w:w="2410" w:type="dxa"/>
          </w:tcPr>
          <w:p w:rsidR="007C357D" w:rsidRDefault="007C357D" w:rsidP="00D13742">
            <w:r>
              <w:t>Week 24</w:t>
            </w:r>
          </w:p>
        </w:tc>
        <w:tc>
          <w:tcPr>
            <w:tcW w:w="1984" w:type="dxa"/>
          </w:tcPr>
          <w:p w:rsidR="007C357D" w:rsidRDefault="007C357D" w:rsidP="00D13742">
            <w:r>
              <w:t>8.88 (1.47)</w:t>
            </w:r>
          </w:p>
        </w:tc>
        <w:tc>
          <w:tcPr>
            <w:tcW w:w="2268" w:type="dxa"/>
          </w:tcPr>
          <w:p w:rsidR="007C357D" w:rsidRDefault="007C357D" w:rsidP="00D13742">
            <w:r>
              <w:t>8.18 (1.45)</w:t>
            </w:r>
          </w:p>
        </w:tc>
        <w:tc>
          <w:tcPr>
            <w:tcW w:w="2262" w:type="dxa"/>
          </w:tcPr>
          <w:p w:rsidR="007C357D" w:rsidRDefault="007C357D" w:rsidP="00D13742">
            <w:r>
              <w:t>8.04 (1.36)</w:t>
            </w:r>
          </w:p>
        </w:tc>
      </w:tr>
      <w:tr w:rsidR="007C357D" w:rsidTr="005D77DF">
        <w:tc>
          <w:tcPr>
            <w:tcW w:w="2410" w:type="dxa"/>
          </w:tcPr>
          <w:p w:rsidR="007C357D" w:rsidRDefault="001C100F" w:rsidP="005D77DF">
            <w:r>
              <w:t>Chang</w:t>
            </w:r>
            <w:r w:rsidR="005D77DF">
              <w:t xml:space="preserve">e </w:t>
            </w:r>
            <w:r w:rsidR="007C357D">
              <w:t>from baseline</w:t>
            </w:r>
          </w:p>
        </w:tc>
        <w:tc>
          <w:tcPr>
            <w:tcW w:w="1984" w:type="dxa"/>
          </w:tcPr>
          <w:p w:rsidR="007C357D" w:rsidRDefault="007C357D" w:rsidP="00D13742">
            <w:r>
              <w:t>0.17 (0.00 to 0.33)</w:t>
            </w:r>
          </w:p>
        </w:tc>
        <w:tc>
          <w:tcPr>
            <w:tcW w:w="2268" w:type="dxa"/>
          </w:tcPr>
          <w:p w:rsidR="007C357D" w:rsidRDefault="007C357D" w:rsidP="00D13742">
            <w:r>
              <w:t>-0.66 (-0.83 to -0.50)</w:t>
            </w:r>
          </w:p>
        </w:tc>
        <w:tc>
          <w:tcPr>
            <w:tcW w:w="2262" w:type="dxa"/>
          </w:tcPr>
          <w:p w:rsidR="007C357D" w:rsidRDefault="007C357D" w:rsidP="00D13742">
            <w:r>
              <w:t>-0.82 (-0.98 to -0.66)</w:t>
            </w:r>
          </w:p>
        </w:tc>
      </w:tr>
    </w:tbl>
    <w:p w:rsidR="007C357D" w:rsidRDefault="007C357D" w:rsidP="001C100F">
      <w:pPr>
        <w:ind w:left="360"/>
      </w:pPr>
      <w:r>
        <w:t xml:space="preserve">   </w:t>
      </w:r>
    </w:p>
    <w:p w:rsidR="007C357D" w:rsidRDefault="005D77DF" w:rsidP="005D77DF">
      <w:pPr>
        <w:pStyle w:val="ListParagraph"/>
      </w:pPr>
      <w:r>
        <w:t>There are</w:t>
      </w:r>
      <w:r w:rsidR="007C357D">
        <w:t xml:space="preserve"> two sets of data for this trial –</w:t>
      </w:r>
      <w:r w:rsidR="001C100F">
        <w:t xml:space="preserve"> </w:t>
      </w:r>
      <w:r w:rsidR="007C357D">
        <w:t xml:space="preserve">Sitagliptin vs Placebo </w:t>
      </w:r>
      <w:r w:rsidR="00B66786">
        <w:t xml:space="preserve">comparison </w:t>
      </w:r>
      <w:r w:rsidR="007C357D">
        <w:t>and Metformin vs Placebo</w:t>
      </w:r>
      <w:r w:rsidR="00B66786">
        <w:t xml:space="preserve"> comparison</w:t>
      </w:r>
      <w:r w:rsidR="007C357D">
        <w:t xml:space="preserve">. </w:t>
      </w:r>
      <w:r w:rsidR="001C100F">
        <w:t>You have to be careful to a</w:t>
      </w:r>
      <w:r w:rsidR="007C357D">
        <w:t>void double counting</w:t>
      </w:r>
      <w:r w:rsidR="001C100F">
        <w:t xml:space="preserve"> patients in the </w:t>
      </w:r>
      <w:r w:rsidR="00CF1D08">
        <w:t>P</w:t>
      </w:r>
      <w:r w:rsidR="001C100F">
        <w:t>lacebo group. Y</w:t>
      </w:r>
      <w:r w:rsidR="007C357D">
        <w:t xml:space="preserve">ou need to split the patients in the </w:t>
      </w:r>
      <w:r w:rsidR="00CF1D08">
        <w:t>P</w:t>
      </w:r>
      <w:r w:rsidR="007C357D">
        <w:t xml:space="preserve">lacebo group into two even (or approximately even) groups. One half then becomes the comparator group for the </w:t>
      </w:r>
      <w:r w:rsidR="007C357D" w:rsidRPr="00B36031">
        <w:t xml:space="preserve">Sitagliptin </w:t>
      </w:r>
      <w:r w:rsidR="007C357D">
        <w:t xml:space="preserve">vs Placebo comparison </w:t>
      </w:r>
      <w:r w:rsidR="007C357D" w:rsidRPr="00B36031">
        <w:t xml:space="preserve">and </w:t>
      </w:r>
      <w:r w:rsidR="007C357D">
        <w:t xml:space="preserve">the other half becomes the comparator group in the </w:t>
      </w:r>
      <w:r w:rsidR="007C357D" w:rsidRPr="00B36031">
        <w:t>Metformin</w:t>
      </w:r>
      <w:r w:rsidR="007C357D">
        <w:t xml:space="preserve"> vs </w:t>
      </w:r>
      <w:r w:rsidR="007C357D" w:rsidRPr="00B36031">
        <w:t xml:space="preserve">Placebo </w:t>
      </w:r>
      <w:r w:rsidR="007C357D">
        <w:t xml:space="preserve">comparison. We assume that same summary data applies to each </w:t>
      </w:r>
      <w:r w:rsidR="00B66786">
        <w:t>P</w:t>
      </w:r>
      <w:r w:rsidR="007C357D">
        <w:t xml:space="preserve">lacebo group. </w:t>
      </w:r>
      <w:r w:rsidR="00B66786">
        <w:t>For example, a</w:t>
      </w:r>
      <w:r w:rsidR="001C100F">
        <w:t>llocating the extra patient (as 165 is an odd number) to the</w:t>
      </w:r>
      <w:r w:rsidR="001C100F" w:rsidRPr="003B7932">
        <w:t xml:space="preserve"> Metformin vs Placebo</w:t>
      </w:r>
      <w:r w:rsidR="001C100F">
        <w:t xml:space="preserve"> comparison would produce the following two sets of </w:t>
      </w:r>
      <w:r>
        <w:t>HbA1c</w:t>
      </w:r>
      <w:r w:rsidR="007C357D">
        <w:t xml:space="preserve"> data for week 24</w:t>
      </w:r>
      <w:r w:rsidR="001C100F">
        <w:t>:</w:t>
      </w:r>
    </w:p>
    <w:p w:rsidR="007C357D" w:rsidRDefault="007C357D" w:rsidP="005D77DF">
      <w:pPr>
        <w:ind w:left="3"/>
      </w:pPr>
      <w:r>
        <w:t xml:space="preserve"> </w:t>
      </w:r>
    </w:p>
    <w:p w:rsidR="001C100F" w:rsidRDefault="007C357D" w:rsidP="001C100F">
      <w:pPr>
        <w:ind w:left="360"/>
      </w:pPr>
      <w:r>
        <w:rPr>
          <w:noProof/>
          <w:lang w:eastAsia="en-GB"/>
        </w:rPr>
        <w:drawing>
          <wp:inline distT="0" distB="0" distL="0" distR="0" wp14:anchorId="65A94918" wp14:editId="2A66074B">
            <wp:extent cx="5762625" cy="79940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2344" cy="804911"/>
                    </a:xfrm>
                    <a:prstGeom prst="rect">
                      <a:avLst/>
                    </a:prstGeom>
                  </pic:spPr>
                </pic:pic>
              </a:graphicData>
            </a:graphic>
          </wp:inline>
        </w:drawing>
      </w:r>
    </w:p>
    <w:p w:rsidR="001C100F" w:rsidRDefault="001C100F" w:rsidP="001C100F">
      <w:pPr>
        <w:pStyle w:val="ListParagraph"/>
      </w:pPr>
    </w:p>
    <w:p w:rsidR="005D77DF" w:rsidRDefault="00A86B94" w:rsidP="00B66786">
      <w:pPr>
        <w:pStyle w:val="ListParagraph"/>
        <w:numPr>
          <w:ilvl w:val="0"/>
          <w:numId w:val="16"/>
        </w:numPr>
      </w:pPr>
      <w:r w:rsidRPr="005D77DF">
        <w:rPr>
          <w:b/>
        </w:rPr>
        <w:t xml:space="preserve">Look out for </w:t>
      </w:r>
      <w:r w:rsidR="005D77DF" w:rsidRPr="005D77DF">
        <w:rPr>
          <w:b/>
        </w:rPr>
        <w:t>multiple reports from the same study</w:t>
      </w:r>
      <w:r w:rsidR="0077377A" w:rsidRPr="005D77DF">
        <w:rPr>
          <w:b/>
        </w:rPr>
        <w:t xml:space="preserve">. </w:t>
      </w:r>
      <w:r w:rsidR="005D77DF">
        <w:t xml:space="preserve">These can be referred to as </w:t>
      </w:r>
      <w:hyperlink r:id="rId15" w:history="1">
        <w:r w:rsidR="005D77DF" w:rsidRPr="002E2AE0">
          <w:rPr>
            <w:rStyle w:val="Hyperlink"/>
          </w:rPr>
          <w:t>duplicate</w:t>
        </w:r>
      </w:hyperlink>
      <w:r w:rsidR="005D77DF">
        <w:t xml:space="preserve"> publications. They can range from reproductions of a published article, based on an identical population and outcomes (identical manuscript), to reports of subgroups or expanded populations and different outcomes.  </w:t>
      </w:r>
      <w:r w:rsidR="00B12CF5">
        <w:t xml:space="preserve">Including </w:t>
      </w:r>
      <w:r w:rsidR="005D77DF">
        <w:t xml:space="preserve">duplicate </w:t>
      </w:r>
      <w:r w:rsidR="00B12CF5">
        <w:t>data</w:t>
      </w:r>
      <w:r w:rsidR="005E4EEF">
        <w:t xml:space="preserve"> </w:t>
      </w:r>
      <w:r w:rsidR="00B12CF5">
        <w:t xml:space="preserve">can introduce considerable </w:t>
      </w:r>
      <w:hyperlink r:id="rId16" w:history="1">
        <w:r w:rsidR="00EC4F50">
          <w:rPr>
            <w:rStyle w:val="Hyperlink"/>
          </w:rPr>
          <w:t>biases</w:t>
        </w:r>
      </w:hyperlink>
      <w:r w:rsidR="00B12CF5">
        <w:t xml:space="preserve"> to your</w:t>
      </w:r>
      <w:r w:rsidR="00EC4F50">
        <w:t xml:space="preserve"> analysis</w:t>
      </w:r>
      <w:r w:rsidR="00B12CF5">
        <w:t xml:space="preserve">. </w:t>
      </w:r>
      <w:r w:rsidR="00B66786" w:rsidRPr="00B66786">
        <w:t>Often duplicate publications are covert, in that they don’t cross reference the original study publication</w:t>
      </w:r>
      <w:r w:rsidR="00B66786">
        <w:t>.</w:t>
      </w:r>
    </w:p>
    <w:p w:rsidR="005D77DF" w:rsidRDefault="005D77DF" w:rsidP="005D77DF"/>
    <w:p w:rsidR="005D77DF" w:rsidRDefault="005D77DF" w:rsidP="005D77DF">
      <w:pPr>
        <w:pStyle w:val="ListParagraph"/>
        <w:rPr>
          <w:rFonts w:ascii="Calibri" w:eastAsia="Times New Roman" w:hAnsi="Calibri" w:cs="Times New Roman"/>
          <w:szCs w:val="24"/>
          <w:lang w:eastAsia="zh-CN"/>
        </w:rPr>
      </w:pPr>
      <w:r>
        <w:t xml:space="preserve">Overlapping patient populations may also occur in the case where data were originally collected for one study and then reanalysed in another study for a different purpose. For example, in a </w:t>
      </w:r>
      <w:hyperlink r:id="rId17" w:history="1">
        <w:r w:rsidRPr="002A2FE6">
          <w:rPr>
            <w:rStyle w:val="Hyperlink"/>
          </w:rPr>
          <w:t>review</w:t>
        </w:r>
      </w:hyperlink>
      <w:r>
        <w:t xml:space="preserve"> of the prognostic value of 24</w:t>
      </w:r>
      <w:r w:rsidR="00B66786">
        <w:t xml:space="preserve"> </w:t>
      </w:r>
      <w:r>
        <w:t>h</w:t>
      </w:r>
      <w:r w:rsidR="00B66786">
        <w:t>our</w:t>
      </w:r>
      <w:r>
        <w:t xml:space="preserve"> blood pressure variability, variability was measured in different ways (including standard deviation, night day ratio and morning blood pressure surge), and studies shared patient data to test the prognostic value of new measures. This review reported </w:t>
      </w:r>
      <w:r w:rsidRPr="00C50893">
        <w:t>36 different measures</w:t>
      </w:r>
      <w:r>
        <w:t xml:space="preserve"> and </w:t>
      </w:r>
      <w:r w:rsidRPr="00C50893">
        <w:t>five of the 24 included studies involved multiple publications of the same or overlapping patient populations.</w:t>
      </w:r>
      <w:r>
        <w:t xml:space="preserve"> Data from duplicate publications were only included if the reported data were unique (e.g. about a </w:t>
      </w:r>
      <w:r>
        <w:lastRenderedPageBreak/>
        <w:t xml:space="preserve">different measure or outcome), and if two publications reported overlapping populations, the same measure and the same outcome, then the data for the larger population was included in the analysis. </w:t>
      </w:r>
      <w:r w:rsidR="00B66786">
        <w:t>Ten publications arose from the</w:t>
      </w:r>
      <w:r w:rsidRPr="005D77DF">
        <w:rPr>
          <w:rFonts w:ascii="Calibri" w:eastAsia="Times New Roman" w:hAnsi="Calibri" w:cs="Times New Roman"/>
          <w:szCs w:val="24"/>
          <w:lang w:eastAsia="zh-CN"/>
        </w:rPr>
        <w:t xml:space="preserve"> International Database on Ambulatory Blood Pressure Monitoring in Relation to Cardiovascular Outcomes (IDACO)</w:t>
      </w:r>
      <w:r w:rsidR="00B66786">
        <w:rPr>
          <w:rFonts w:ascii="Calibri" w:eastAsia="Times New Roman" w:hAnsi="Calibri" w:cs="Times New Roman"/>
          <w:szCs w:val="24"/>
          <w:lang w:eastAsia="zh-CN"/>
        </w:rPr>
        <w:t xml:space="preserve"> group</w:t>
      </w:r>
      <w:r w:rsidRPr="005D77DF">
        <w:rPr>
          <w:rFonts w:ascii="Calibri" w:eastAsia="Times New Roman" w:hAnsi="Calibri" w:cs="Times New Roman"/>
          <w:szCs w:val="24"/>
          <w:lang w:eastAsia="zh-CN"/>
        </w:rPr>
        <w:t xml:space="preserve">.   </w:t>
      </w:r>
    </w:p>
    <w:p w:rsidR="00B66786" w:rsidRDefault="00B66786" w:rsidP="005D77DF">
      <w:pPr>
        <w:pStyle w:val="ListParagraph"/>
        <w:rPr>
          <w:rFonts w:ascii="Calibri" w:eastAsia="Times New Roman" w:hAnsi="Calibri" w:cs="Times New Roman"/>
          <w:szCs w:val="24"/>
          <w:lang w:eastAsia="zh-CN"/>
        </w:rPr>
      </w:pPr>
    </w:p>
    <w:p w:rsidR="00B66786" w:rsidRPr="00B66786" w:rsidRDefault="00B66786" w:rsidP="00B66786">
      <w:pPr>
        <w:pStyle w:val="ListParagraph"/>
        <w:rPr>
          <w:rFonts w:ascii="Calibri" w:eastAsia="Times New Roman" w:hAnsi="Calibri" w:cs="Times New Roman"/>
          <w:szCs w:val="24"/>
          <w:lang w:eastAsia="zh-CN"/>
        </w:rPr>
      </w:pPr>
      <w:r w:rsidRPr="00B66786">
        <w:rPr>
          <w:rFonts w:ascii="Calibri" w:eastAsia="Times New Roman" w:hAnsi="Calibri" w:cs="Times New Roman"/>
          <w:szCs w:val="24"/>
          <w:lang w:eastAsia="zh-CN"/>
        </w:rPr>
        <w:t>The recommendations for spotting overlapping data (duplicate publications) include comparing the author names, study locations and settings, population sizes, dates and study durations, and information about the study interventions. In the review mentioned above, it was also necessary to compare the blood pressure variability measures that were reported in each publication.</w:t>
      </w:r>
    </w:p>
    <w:p w:rsidR="00B66786" w:rsidRDefault="00B66786" w:rsidP="00B66786">
      <w:pPr>
        <w:pStyle w:val="ListParagraph"/>
      </w:pPr>
    </w:p>
    <w:p w:rsidR="00B66786" w:rsidRDefault="00B66786" w:rsidP="00B66786">
      <w:pPr>
        <w:pStyle w:val="ListParagraph"/>
      </w:pPr>
      <w:r>
        <w:t>Data extraction often involves an element of ‘detective work’ to find the data you want whilst checking for covert duplicate publications and patient dropouts</w:t>
      </w:r>
      <w:r w:rsidRPr="002F73CF">
        <w:t>.</w:t>
      </w:r>
      <w:r w:rsidRPr="005D77DF">
        <w:rPr>
          <w:rFonts w:ascii="Calibri" w:eastAsia="Times New Roman" w:hAnsi="Calibri" w:cs="Times New Roman"/>
          <w:szCs w:val="24"/>
          <w:lang w:eastAsia="zh-CN"/>
        </w:rPr>
        <w:t xml:space="preserve"> </w:t>
      </w:r>
    </w:p>
    <w:p w:rsidR="005D77DF" w:rsidRDefault="005D77DF" w:rsidP="005D77DF"/>
    <w:p w:rsidR="00B66786" w:rsidRDefault="005D77DF" w:rsidP="00B66786">
      <w:pPr>
        <w:pStyle w:val="ListParagraph"/>
        <w:jc w:val="center"/>
      </w:pPr>
      <w:r>
        <w:rPr>
          <w:noProof/>
          <w:lang w:eastAsia="en-GB"/>
        </w:rPr>
        <w:drawing>
          <wp:inline distT="0" distB="0" distL="0" distR="0" wp14:anchorId="56D1E3EA" wp14:editId="4D2178ED">
            <wp:extent cx="1275065" cy="1668248"/>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85425" cy="1681803"/>
                    </a:xfrm>
                    <a:prstGeom prst="rect">
                      <a:avLst/>
                    </a:prstGeom>
                  </pic:spPr>
                </pic:pic>
              </a:graphicData>
            </a:graphic>
          </wp:inline>
        </w:drawing>
      </w:r>
    </w:p>
    <w:p w:rsidR="005D77DF" w:rsidRDefault="005D77DF" w:rsidP="005D77DF"/>
    <w:p w:rsidR="00E97673" w:rsidRDefault="00E97673" w:rsidP="00C94A37">
      <w:r>
        <w:rPr>
          <w:rFonts w:ascii="Times New Roman" w:hAnsi="Times New Roman" w:cs="Times New Roman"/>
          <w:noProof/>
          <w:szCs w:val="24"/>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224155</wp:posOffset>
                </wp:positionV>
                <wp:extent cx="3139440" cy="2072640"/>
                <wp:effectExtent l="0" t="0" r="22860" b="22860"/>
                <wp:wrapNone/>
                <wp:docPr id="3" name="Vertical Scroll 3"/>
                <wp:cNvGraphicFramePr/>
                <a:graphic xmlns:a="http://schemas.openxmlformats.org/drawingml/2006/main">
                  <a:graphicData uri="http://schemas.microsoft.com/office/word/2010/wordprocessingShape">
                    <wps:wsp>
                      <wps:cNvSpPr/>
                      <wps:spPr>
                        <a:xfrm>
                          <a:off x="0" y="0"/>
                          <a:ext cx="3139440" cy="2072640"/>
                        </a:xfrm>
                        <a:prstGeom prst="verticalScroll">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C1FAD" w:rsidRDefault="00E97673" w:rsidP="00E97673">
                            <w:pPr>
                              <w:jc w:val="center"/>
                              <w:rPr>
                                <w:i/>
                                <w:color w:val="000000" w:themeColor="text1"/>
                              </w:rPr>
                            </w:pPr>
                            <w:r>
                              <w:rPr>
                                <w:i/>
                                <w:color w:val="000000" w:themeColor="text1"/>
                              </w:rPr>
                              <w:t>Here’s a tip…</w:t>
                            </w:r>
                          </w:p>
                          <w:p w:rsidR="00FB7F36" w:rsidRDefault="00142B71" w:rsidP="00E97673">
                            <w:pPr>
                              <w:jc w:val="center"/>
                              <w:rPr>
                                <w:i/>
                                <w:color w:val="000000" w:themeColor="text1"/>
                              </w:rPr>
                            </w:pPr>
                            <w:r>
                              <w:rPr>
                                <w:i/>
                                <w:color w:val="000000" w:themeColor="text1"/>
                              </w:rPr>
                              <w:t>F</w:t>
                            </w:r>
                            <w:r w:rsidR="0079215C">
                              <w:rPr>
                                <w:i/>
                                <w:color w:val="000000" w:themeColor="text1"/>
                              </w:rPr>
                              <w:t>ollowing best practice</w:t>
                            </w:r>
                            <w:r w:rsidR="00E16F7A">
                              <w:rPr>
                                <w:i/>
                                <w:color w:val="000000" w:themeColor="text1"/>
                              </w:rPr>
                              <w:t>,</w:t>
                            </w:r>
                            <w:r w:rsidR="0079215C">
                              <w:rPr>
                                <w:i/>
                                <w:color w:val="000000" w:themeColor="text1"/>
                              </w:rPr>
                              <w:t xml:space="preserve"> </w:t>
                            </w:r>
                            <w:r>
                              <w:rPr>
                                <w:i/>
                                <w:color w:val="000000" w:themeColor="text1"/>
                              </w:rPr>
                              <w:t xml:space="preserve">being careful </w:t>
                            </w:r>
                            <w:r w:rsidR="00E16F7A">
                              <w:rPr>
                                <w:i/>
                                <w:color w:val="000000" w:themeColor="text1"/>
                              </w:rPr>
                              <w:t xml:space="preserve">and thinking like a detective </w:t>
                            </w:r>
                            <w:r w:rsidR="00C12960">
                              <w:rPr>
                                <w:i/>
                                <w:color w:val="000000" w:themeColor="text1"/>
                              </w:rPr>
                              <w:t>will</w:t>
                            </w:r>
                            <w:r w:rsidR="00FB7F36">
                              <w:rPr>
                                <w:i/>
                                <w:color w:val="000000" w:themeColor="text1"/>
                              </w:rPr>
                              <w:t xml:space="preserve"> </w:t>
                            </w:r>
                            <w:r w:rsidR="00C12960">
                              <w:rPr>
                                <w:i/>
                                <w:color w:val="000000" w:themeColor="text1"/>
                              </w:rPr>
                              <w:t xml:space="preserve">help </w:t>
                            </w:r>
                            <w:r w:rsidR="00FB7F36">
                              <w:rPr>
                                <w:i/>
                                <w:color w:val="000000" w:themeColor="text1"/>
                              </w:rPr>
                              <w:t>minimise errors and</w:t>
                            </w:r>
                            <w:r w:rsidR="00C12960">
                              <w:rPr>
                                <w:i/>
                                <w:color w:val="000000" w:themeColor="text1"/>
                              </w:rPr>
                              <w:t xml:space="preserve"> reduce the possibility of</w:t>
                            </w:r>
                            <w:r w:rsidR="00FB7F36">
                              <w:rPr>
                                <w:i/>
                                <w:color w:val="000000" w:themeColor="text1"/>
                              </w:rPr>
                              <w:t xml:space="preserve"> introducing </w:t>
                            </w:r>
                            <w:r w:rsidR="00C12960">
                              <w:rPr>
                                <w:i/>
                                <w:color w:val="000000" w:themeColor="text1"/>
                              </w:rPr>
                              <w:t>b</w:t>
                            </w:r>
                            <w:r w:rsidR="00FB7F36">
                              <w:rPr>
                                <w:i/>
                                <w:color w:val="000000" w:themeColor="text1"/>
                              </w:rPr>
                              <w:t>ias</w:t>
                            </w:r>
                          </w:p>
                          <w:p w:rsidR="00E97673" w:rsidRDefault="00E97673" w:rsidP="00E9767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3" o:spid="_x0000_s1028" type="#_x0000_t97" style="position:absolute;left:0;text-align:left;margin-left:0;margin-top:17.65pt;width:247.2pt;height:163.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" fillcolor="#f7caac [1301]" strokecolor="#1f4d78 [1604]" strokeweight="1pt">
                <v:stroke joinstyle="miter"/>
                <v:textbox>
                  <w:txbxContent>
                    <w:p w:rsidR="005C1FAD" w:rsidRDefault="00E97673" w:rsidP="00E97673">
                      <w:pPr>
                        <w:jc w:val="center"/>
                        <w:rPr>
                          <w:i/>
                          <w:color w:val="000000" w:themeColor="text1"/>
                        </w:rPr>
                      </w:pPr>
                      <w:r>
                        <w:rPr>
                          <w:i/>
                          <w:color w:val="000000" w:themeColor="text1"/>
                        </w:rPr>
                        <w:t>Here’s a tip…</w:t>
                      </w:r>
                    </w:p>
                    <w:p w:rsidR="00FB7F36" w:rsidRDefault="00142B71" w:rsidP="00E97673">
                      <w:pPr>
                        <w:jc w:val="center"/>
                        <w:rPr>
                          <w:i/>
                          <w:color w:val="000000" w:themeColor="text1"/>
                        </w:rPr>
                      </w:pPr>
                      <w:r>
                        <w:rPr>
                          <w:i/>
                          <w:color w:val="000000" w:themeColor="text1"/>
                        </w:rPr>
                        <w:t>F</w:t>
                      </w:r>
                      <w:r w:rsidR="0079215C">
                        <w:rPr>
                          <w:i/>
                          <w:color w:val="000000" w:themeColor="text1"/>
                        </w:rPr>
                        <w:t>ollowing best practice</w:t>
                      </w:r>
                      <w:r w:rsidR="00E16F7A">
                        <w:rPr>
                          <w:i/>
                          <w:color w:val="000000" w:themeColor="text1"/>
                        </w:rPr>
                        <w:t>,</w:t>
                      </w:r>
                      <w:r w:rsidR="0079215C">
                        <w:rPr>
                          <w:i/>
                          <w:color w:val="000000" w:themeColor="text1"/>
                        </w:rPr>
                        <w:t xml:space="preserve"> </w:t>
                      </w:r>
                      <w:r>
                        <w:rPr>
                          <w:i/>
                          <w:color w:val="000000" w:themeColor="text1"/>
                        </w:rPr>
                        <w:t xml:space="preserve">being careful </w:t>
                      </w:r>
                      <w:r w:rsidR="00E16F7A">
                        <w:rPr>
                          <w:i/>
                          <w:color w:val="000000" w:themeColor="text1"/>
                        </w:rPr>
                        <w:t xml:space="preserve">and thinking like a detective </w:t>
                      </w:r>
                      <w:r w:rsidR="00C12960">
                        <w:rPr>
                          <w:i/>
                          <w:color w:val="000000" w:themeColor="text1"/>
                        </w:rPr>
                        <w:t>will</w:t>
                      </w:r>
                      <w:r w:rsidR="00FB7F36">
                        <w:rPr>
                          <w:i/>
                          <w:color w:val="000000" w:themeColor="text1"/>
                        </w:rPr>
                        <w:t xml:space="preserve"> </w:t>
                      </w:r>
                      <w:r w:rsidR="00C12960">
                        <w:rPr>
                          <w:i/>
                          <w:color w:val="000000" w:themeColor="text1"/>
                        </w:rPr>
                        <w:t xml:space="preserve">help </w:t>
                      </w:r>
                      <w:r w:rsidR="00FB7F36">
                        <w:rPr>
                          <w:i/>
                          <w:color w:val="000000" w:themeColor="text1"/>
                        </w:rPr>
                        <w:t>minimise errors and</w:t>
                      </w:r>
                      <w:r w:rsidR="00C12960">
                        <w:rPr>
                          <w:i/>
                          <w:color w:val="000000" w:themeColor="text1"/>
                        </w:rPr>
                        <w:t xml:space="preserve"> reduce the possibility of</w:t>
                      </w:r>
                      <w:r w:rsidR="00FB7F36">
                        <w:rPr>
                          <w:i/>
                          <w:color w:val="000000" w:themeColor="text1"/>
                        </w:rPr>
                        <w:t xml:space="preserve"> introducing </w:t>
                      </w:r>
                      <w:r w:rsidR="00C12960">
                        <w:rPr>
                          <w:i/>
                          <w:color w:val="000000" w:themeColor="text1"/>
                        </w:rPr>
                        <w:t>b</w:t>
                      </w:r>
                      <w:r w:rsidR="00FB7F36">
                        <w:rPr>
                          <w:i/>
                          <w:color w:val="000000" w:themeColor="text1"/>
                        </w:rPr>
                        <w:t>ias</w:t>
                      </w:r>
                    </w:p>
                    <w:p w:rsidR="00E97673" w:rsidRDefault="00E97673" w:rsidP="00E97673">
                      <w:pPr>
                        <w:jc w:val="center"/>
                        <w:rPr>
                          <w:color w:val="000000" w:themeColor="text1"/>
                        </w:rPr>
                      </w:pPr>
                    </w:p>
                  </w:txbxContent>
                </v:textbox>
                <w10:wrap anchorx="margin"/>
              </v:shape>
            </w:pict>
          </mc:Fallback>
        </mc:AlternateContent>
      </w:r>
    </w:p>
    <w:p w:rsidR="00E97673" w:rsidRDefault="00E97673" w:rsidP="00C94A37"/>
    <w:p w:rsidR="00E97673" w:rsidRDefault="00E97673" w:rsidP="00C94A37"/>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20284E" w:rsidRDefault="0020284E" w:rsidP="00801468">
      <w:pPr>
        <w:rPr>
          <w:rFonts w:eastAsiaTheme="majorEastAsia" w:cstheme="majorBidi"/>
          <w:szCs w:val="24"/>
        </w:rPr>
      </w:pPr>
    </w:p>
    <w:p w:rsidR="00FC6809" w:rsidRDefault="00FC6809" w:rsidP="00FC6809">
      <w:pPr>
        <w:jc w:val="left"/>
        <w:rPr>
          <w:rFonts w:eastAsiaTheme="minorEastAsia"/>
          <w:sz w:val="28"/>
          <w:szCs w:val="28"/>
        </w:rPr>
      </w:pPr>
      <w:r>
        <w:rPr>
          <w:rFonts w:eastAsiaTheme="minorEastAsia"/>
          <w:sz w:val="28"/>
          <w:szCs w:val="28"/>
        </w:rPr>
        <w:t xml:space="preserve">My next blog post is going to be a video where I’ll show what I do when I find that data are only presented in graphical form. I’ll introduce you to some useful online data extraction software and also refer to some of the recommendations that I’ve given in this series on the practice of data extraction. Please also note that I’ll be </w:t>
      </w:r>
      <w:r>
        <w:rPr>
          <w:rFonts w:eastAsiaTheme="minorEastAsia"/>
          <w:sz w:val="28"/>
          <w:szCs w:val="28"/>
        </w:rPr>
        <w:lastRenderedPageBreak/>
        <w:t>taking a brief break after the next (video) blog and will be starting a new series (on extracting hazard rat</w:t>
      </w:r>
      <w:r w:rsidR="00E3768F">
        <w:rPr>
          <w:rFonts w:eastAsiaTheme="minorEastAsia"/>
          <w:sz w:val="28"/>
          <w:szCs w:val="28"/>
        </w:rPr>
        <w:t xml:space="preserve">ios from time-to-event data) </w:t>
      </w:r>
      <w:r>
        <w:rPr>
          <w:rFonts w:eastAsiaTheme="minorEastAsia"/>
          <w:sz w:val="28"/>
          <w:szCs w:val="28"/>
        </w:rPr>
        <w:t>with a post around 2</w:t>
      </w:r>
      <w:r w:rsidR="00142B71">
        <w:rPr>
          <w:rFonts w:eastAsiaTheme="minorEastAsia"/>
          <w:sz w:val="28"/>
          <w:szCs w:val="28"/>
        </w:rPr>
        <w:t>7</w:t>
      </w:r>
      <w:bookmarkStart w:id="0" w:name="_GoBack"/>
      <w:bookmarkEnd w:id="0"/>
      <w:r>
        <w:rPr>
          <w:rFonts w:eastAsiaTheme="minorEastAsia"/>
          <w:sz w:val="28"/>
          <w:szCs w:val="28"/>
        </w:rPr>
        <w:t xml:space="preserve"> August.</w:t>
      </w:r>
    </w:p>
    <w:p w:rsidR="00BA76D0" w:rsidRPr="0013591A" w:rsidRDefault="00FC6809" w:rsidP="00FC6809">
      <w:pPr>
        <w:jc w:val="left"/>
        <w:rPr>
          <w:rFonts w:eastAsiaTheme="minorEastAsia"/>
          <w:sz w:val="28"/>
          <w:szCs w:val="28"/>
        </w:rPr>
      </w:pPr>
      <w:r>
        <w:rPr>
          <w:rFonts w:eastAsiaTheme="minorEastAsia"/>
          <w:sz w:val="28"/>
          <w:szCs w:val="28"/>
        </w:rPr>
        <w:t xml:space="preserve"> </w:t>
      </w:r>
    </w:p>
    <w:p w:rsidR="00F61465" w:rsidRDefault="00F61465" w:rsidP="00F61465">
      <w:pPr>
        <w:jc w:val="left"/>
        <w:rPr>
          <w:b/>
        </w:rPr>
      </w:pPr>
      <w:r>
        <w:rPr>
          <w:b/>
        </w:rPr>
        <w:t xml:space="preserve">Dr Kathy Taylor teaches data extraction in Meta-analysis, </w:t>
      </w:r>
      <w:hyperlink r:id="rId19" w:history="1">
        <w:r w:rsidRPr="00444C0C">
          <w:rPr>
            <w:rStyle w:val="Hyperlink"/>
            <w:b/>
          </w:rPr>
          <w:t>https://www.conted.ox.ac.uk/courses/meta-analysis&lt;/link</w:t>
        </w:r>
      </w:hyperlink>
      <w:r>
        <w:rPr>
          <w:b/>
        </w:rPr>
        <w:t xml:space="preserve">&gt; This is a short course that is also available as part of our MSc in Evidence-Based Health Care </w:t>
      </w:r>
    </w:p>
    <w:p w:rsidR="00F61465" w:rsidRDefault="00142B71" w:rsidP="00F61465">
      <w:pPr>
        <w:jc w:val="left"/>
        <w:rPr>
          <w:b/>
        </w:rPr>
      </w:pPr>
      <w:hyperlink r:id="rId20" w:history="1">
        <w:r w:rsidR="00F61465" w:rsidRPr="00444C0C">
          <w:rPr>
            <w:rStyle w:val="Hyperlink"/>
            <w:b/>
          </w:rPr>
          <w:t>https://www.conted.ox.ac.uk/about/msc-in-evidence-based-health-care</w:t>
        </w:r>
      </w:hyperlink>
      <w:r w:rsidR="00F61465">
        <w:rPr>
          <w:b/>
        </w:rPr>
        <w:t xml:space="preserve">, MSc in Medical Statistics </w:t>
      </w:r>
    </w:p>
    <w:p w:rsidR="00F61465" w:rsidRDefault="00142B71" w:rsidP="00F61465">
      <w:pPr>
        <w:jc w:val="left"/>
        <w:rPr>
          <w:b/>
        </w:rPr>
      </w:pPr>
      <w:hyperlink r:id="rId21" w:history="1">
        <w:r w:rsidR="00F61465" w:rsidRPr="00444C0C">
          <w:rPr>
            <w:rStyle w:val="Hyperlink"/>
            <w:b/>
          </w:rPr>
          <w:t>https://www.conted.ox.ac.uk/about/msc-in-ebhc-medical-statistics</w:t>
        </w:r>
      </w:hyperlink>
      <w:r w:rsidR="00F61465">
        <w:rPr>
          <w:b/>
        </w:rPr>
        <w:t xml:space="preserve">, and MSc in Systematic Reviews </w:t>
      </w:r>
    </w:p>
    <w:p w:rsidR="00F61465" w:rsidRDefault="00142B71" w:rsidP="00F61465">
      <w:pPr>
        <w:jc w:val="left"/>
        <w:rPr>
          <w:b/>
        </w:rPr>
      </w:pPr>
      <w:hyperlink r:id="rId22" w:history="1">
        <w:r w:rsidR="00F61465" w:rsidRPr="00444C0C">
          <w:rPr>
            <w:rStyle w:val="Hyperlink"/>
            <w:b/>
          </w:rPr>
          <w:t>https://www.conted.ox.ac.uk/about/msc-in-ebhc-systematic-reviews</w:t>
        </w:r>
      </w:hyperlink>
    </w:p>
    <w:p w:rsidR="00F61465" w:rsidRDefault="00F61465" w:rsidP="00F61465">
      <w:pPr>
        <w:rPr>
          <w:b/>
        </w:rPr>
      </w:pPr>
    </w:p>
    <w:p w:rsidR="000F3DCD" w:rsidRDefault="00F61465" w:rsidP="00F61465">
      <w:r>
        <w:rPr>
          <w:b/>
        </w:rPr>
        <w:t>Follow updates on this blog and related news on Twitter @</w:t>
      </w:r>
      <w:proofErr w:type="spellStart"/>
      <w:r>
        <w:rPr>
          <w:b/>
        </w:rPr>
        <w:t>dataextips</w:t>
      </w:r>
      <w:proofErr w:type="spellEnd"/>
    </w:p>
    <w:sectPr w:rsidR="000F3DCD" w:rsidSect="00E7148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DengXian">
    <w:altName w:val="等线"/>
    <w:panose1 w:val="02010600030101010101"/>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216"/>
    <w:multiLevelType w:val="hybridMultilevel"/>
    <w:tmpl w:val="FD4253D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3E8060E"/>
    <w:multiLevelType w:val="hybridMultilevel"/>
    <w:tmpl w:val="FD043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13027"/>
    <w:multiLevelType w:val="hybridMultilevel"/>
    <w:tmpl w:val="2FA0648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421220"/>
    <w:multiLevelType w:val="hybridMultilevel"/>
    <w:tmpl w:val="E7CE8B7C"/>
    <w:lvl w:ilvl="0" w:tplc="6C50D1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AE7E13"/>
    <w:multiLevelType w:val="hybridMultilevel"/>
    <w:tmpl w:val="FCECB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C0861"/>
    <w:multiLevelType w:val="hybridMultilevel"/>
    <w:tmpl w:val="4A924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D958F7"/>
    <w:multiLevelType w:val="hybridMultilevel"/>
    <w:tmpl w:val="76924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67AE1"/>
    <w:multiLevelType w:val="hybridMultilevel"/>
    <w:tmpl w:val="918AF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D39B5"/>
    <w:multiLevelType w:val="hybridMultilevel"/>
    <w:tmpl w:val="793682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743F90"/>
    <w:multiLevelType w:val="hybridMultilevel"/>
    <w:tmpl w:val="6E3A38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26324"/>
    <w:multiLevelType w:val="hybridMultilevel"/>
    <w:tmpl w:val="51ACA134"/>
    <w:lvl w:ilvl="0" w:tplc="C6DECD0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71E69"/>
    <w:multiLevelType w:val="hybridMultilevel"/>
    <w:tmpl w:val="B1DCDA4E"/>
    <w:lvl w:ilvl="0" w:tplc="9906E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20066"/>
    <w:multiLevelType w:val="hybridMultilevel"/>
    <w:tmpl w:val="11203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00016"/>
    <w:multiLevelType w:val="hybridMultilevel"/>
    <w:tmpl w:val="FD485492"/>
    <w:lvl w:ilvl="0" w:tplc="9906E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4751F"/>
    <w:multiLevelType w:val="hybridMultilevel"/>
    <w:tmpl w:val="FBE41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631094"/>
    <w:multiLevelType w:val="hybridMultilevel"/>
    <w:tmpl w:val="78EA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44705"/>
    <w:multiLevelType w:val="hybridMultilevel"/>
    <w:tmpl w:val="B5368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C1664E"/>
    <w:multiLevelType w:val="hybridMultilevel"/>
    <w:tmpl w:val="EE5AA66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82C0092"/>
    <w:multiLevelType w:val="hybridMultilevel"/>
    <w:tmpl w:val="C0A2A5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8"/>
  </w:num>
  <w:num w:numId="5">
    <w:abstractNumId w:val="12"/>
  </w:num>
  <w:num w:numId="6">
    <w:abstractNumId w:val="7"/>
  </w:num>
  <w:num w:numId="7">
    <w:abstractNumId w:val="8"/>
  </w:num>
  <w:num w:numId="8">
    <w:abstractNumId w:val="3"/>
  </w:num>
  <w:num w:numId="9">
    <w:abstractNumId w:val="17"/>
  </w:num>
  <w:num w:numId="10">
    <w:abstractNumId w:val="10"/>
  </w:num>
  <w:num w:numId="11">
    <w:abstractNumId w:val="9"/>
  </w:num>
  <w:num w:numId="12">
    <w:abstractNumId w:val="4"/>
  </w:num>
  <w:num w:numId="13">
    <w:abstractNumId w:val="15"/>
  </w:num>
  <w:num w:numId="14">
    <w:abstractNumId w:val="5"/>
  </w:num>
  <w:num w:numId="15">
    <w:abstractNumId w:val="16"/>
  </w:num>
  <w:num w:numId="16">
    <w:abstractNumId w:val="11"/>
  </w:num>
  <w:num w:numId="17">
    <w:abstractNumId w:val="0"/>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0"/>
    <w:rsid w:val="00005DCF"/>
    <w:rsid w:val="00007277"/>
    <w:rsid w:val="0000797F"/>
    <w:rsid w:val="00010602"/>
    <w:rsid w:val="00024A49"/>
    <w:rsid w:val="00030E37"/>
    <w:rsid w:val="0003161B"/>
    <w:rsid w:val="0003727C"/>
    <w:rsid w:val="0004354A"/>
    <w:rsid w:val="0004465B"/>
    <w:rsid w:val="000502DA"/>
    <w:rsid w:val="000523DB"/>
    <w:rsid w:val="00061BC8"/>
    <w:rsid w:val="00062810"/>
    <w:rsid w:val="00072AB2"/>
    <w:rsid w:val="00072FF1"/>
    <w:rsid w:val="00077F8A"/>
    <w:rsid w:val="00081903"/>
    <w:rsid w:val="000873ED"/>
    <w:rsid w:val="000875BC"/>
    <w:rsid w:val="000944C1"/>
    <w:rsid w:val="000A31E7"/>
    <w:rsid w:val="000A72C7"/>
    <w:rsid w:val="000B2B26"/>
    <w:rsid w:val="000C3186"/>
    <w:rsid w:val="000C5427"/>
    <w:rsid w:val="000C7E15"/>
    <w:rsid w:val="000D08E4"/>
    <w:rsid w:val="000D6955"/>
    <w:rsid w:val="000E1D35"/>
    <w:rsid w:val="000E3E38"/>
    <w:rsid w:val="000F327C"/>
    <w:rsid w:val="000F3DCD"/>
    <w:rsid w:val="0011090E"/>
    <w:rsid w:val="001125AC"/>
    <w:rsid w:val="00112F97"/>
    <w:rsid w:val="00117AB8"/>
    <w:rsid w:val="001217CF"/>
    <w:rsid w:val="00131C6D"/>
    <w:rsid w:val="0013591A"/>
    <w:rsid w:val="00142B71"/>
    <w:rsid w:val="00144D03"/>
    <w:rsid w:val="001475B0"/>
    <w:rsid w:val="00151852"/>
    <w:rsid w:val="00164538"/>
    <w:rsid w:val="00165841"/>
    <w:rsid w:val="00165953"/>
    <w:rsid w:val="00171703"/>
    <w:rsid w:val="0017670D"/>
    <w:rsid w:val="00197F74"/>
    <w:rsid w:val="001A2BE8"/>
    <w:rsid w:val="001A5106"/>
    <w:rsid w:val="001A75D3"/>
    <w:rsid w:val="001B2657"/>
    <w:rsid w:val="001B37DD"/>
    <w:rsid w:val="001B45DE"/>
    <w:rsid w:val="001B563F"/>
    <w:rsid w:val="001B5AA9"/>
    <w:rsid w:val="001B6F9C"/>
    <w:rsid w:val="001C0913"/>
    <w:rsid w:val="001C09D5"/>
    <w:rsid w:val="001C100F"/>
    <w:rsid w:val="001C1D89"/>
    <w:rsid w:val="001C4A6A"/>
    <w:rsid w:val="001D2705"/>
    <w:rsid w:val="001D30D1"/>
    <w:rsid w:val="001D7919"/>
    <w:rsid w:val="001F00A0"/>
    <w:rsid w:val="001F095B"/>
    <w:rsid w:val="001F2235"/>
    <w:rsid w:val="001F25CC"/>
    <w:rsid w:val="001F397C"/>
    <w:rsid w:val="002008C2"/>
    <w:rsid w:val="0020157D"/>
    <w:rsid w:val="0020284E"/>
    <w:rsid w:val="0021794F"/>
    <w:rsid w:val="0022029A"/>
    <w:rsid w:val="00222B84"/>
    <w:rsid w:val="00226CC2"/>
    <w:rsid w:val="00250544"/>
    <w:rsid w:val="00251A69"/>
    <w:rsid w:val="00256FE3"/>
    <w:rsid w:val="0027393E"/>
    <w:rsid w:val="00274D67"/>
    <w:rsid w:val="002823AB"/>
    <w:rsid w:val="00285A6D"/>
    <w:rsid w:val="002860CD"/>
    <w:rsid w:val="002922C3"/>
    <w:rsid w:val="00296359"/>
    <w:rsid w:val="002967CB"/>
    <w:rsid w:val="002A0714"/>
    <w:rsid w:val="002A3B34"/>
    <w:rsid w:val="002A4644"/>
    <w:rsid w:val="002B05DD"/>
    <w:rsid w:val="002B2F5A"/>
    <w:rsid w:val="002B640D"/>
    <w:rsid w:val="002B6D91"/>
    <w:rsid w:val="002C35B6"/>
    <w:rsid w:val="002D27D1"/>
    <w:rsid w:val="002D3704"/>
    <w:rsid w:val="002D5228"/>
    <w:rsid w:val="002E3BE5"/>
    <w:rsid w:val="002E4DD4"/>
    <w:rsid w:val="002E5A7E"/>
    <w:rsid w:val="002F1FBB"/>
    <w:rsid w:val="002F761A"/>
    <w:rsid w:val="00302055"/>
    <w:rsid w:val="00305F0E"/>
    <w:rsid w:val="00316795"/>
    <w:rsid w:val="003169B9"/>
    <w:rsid w:val="00325ADC"/>
    <w:rsid w:val="00326E04"/>
    <w:rsid w:val="00327AAA"/>
    <w:rsid w:val="00331DBD"/>
    <w:rsid w:val="00333909"/>
    <w:rsid w:val="003378D4"/>
    <w:rsid w:val="003463E4"/>
    <w:rsid w:val="00352BF0"/>
    <w:rsid w:val="003629B6"/>
    <w:rsid w:val="0037154F"/>
    <w:rsid w:val="00371AC8"/>
    <w:rsid w:val="00371AF1"/>
    <w:rsid w:val="003741E8"/>
    <w:rsid w:val="00375F9E"/>
    <w:rsid w:val="00376680"/>
    <w:rsid w:val="0039100C"/>
    <w:rsid w:val="0039219A"/>
    <w:rsid w:val="0039648E"/>
    <w:rsid w:val="003A12D9"/>
    <w:rsid w:val="003A6B09"/>
    <w:rsid w:val="003B2F11"/>
    <w:rsid w:val="003B340D"/>
    <w:rsid w:val="003B4968"/>
    <w:rsid w:val="003C0057"/>
    <w:rsid w:val="003C2FEB"/>
    <w:rsid w:val="003C402A"/>
    <w:rsid w:val="003C5DDE"/>
    <w:rsid w:val="003D14AE"/>
    <w:rsid w:val="003D5A94"/>
    <w:rsid w:val="003E14E8"/>
    <w:rsid w:val="003E34A4"/>
    <w:rsid w:val="003E5601"/>
    <w:rsid w:val="003E68DD"/>
    <w:rsid w:val="003F3B5D"/>
    <w:rsid w:val="00402452"/>
    <w:rsid w:val="00405021"/>
    <w:rsid w:val="00412A76"/>
    <w:rsid w:val="00430366"/>
    <w:rsid w:val="00430A6F"/>
    <w:rsid w:val="00442D5B"/>
    <w:rsid w:val="00443AAC"/>
    <w:rsid w:val="004448E9"/>
    <w:rsid w:val="00455569"/>
    <w:rsid w:val="00455882"/>
    <w:rsid w:val="0046759A"/>
    <w:rsid w:val="00474C66"/>
    <w:rsid w:val="0047759D"/>
    <w:rsid w:val="00477F28"/>
    <w:rsid w:val="00480965"/>
    <w:rsid w:val="00492259"/>
    <w:rsid w:val="004930C2"/>
    <w:rsid w:val="004A2803"/>
    <w:rsid w:val="004B06A1"/>
    <w:rsid w:val="004B404C"/>
    <w:rsid w:val="004B6831"/>
    <w:rsid w:val="004C04E1"/>
    <w:rsid w:val="004C3AAA"/>
    <w:rsid w:val="004C4709"/>
    <w:rsid w:val="004C65A1"/>
    <w:rsid w:val="004D561C"/>
    <w:rsid w:val="004E0CBB"/>
    <w:rsid w:val="004E32DC"/>
    <w:rsid w:val="004F5412"/>
    <w:rsid w:val="004F74E8"/>
    <w:rsid w:val="004F7602"/>
    <w:rsid w:val="005008CB"/>
    <w:rsid w:val="00510A34"/>
    <w:rsid w:val="00514AB0"/>
    <w:rsid w:val="00514E60"/>
    <w:rsid w:val="00522E6F"/>
    <w:rsid w:val="00523341"/>
    <w:rsid w:val="005248F0"/>
    <w:rsid w:val="00524914"/>
    <w:rsid w:val="005267FD"/>
    <w:rsid w:val="00527ABA"/>
    <w:rsid w:val="00532FDC"/>
    <w:rsid w:val="005343AB"/>
    <w:rsid w:val="00534B32"/>
    <w:rsid w:val="00540B55"/>
    <w:rsid w:val="005446D3"/>
    <w:rsid w:val="005523EE"/>
    <w:rsid w:val="005566AB"/>
    <w:rsid w:val="005616A9"/>
    <w:rsid w:val="00562630"/>
    <w:rsid w:val="00567608"/>
    <w:rsid w:val="005742E7"/>
    <w:rsid w:val="00574A6C"/>
    <w:rsid w:val="00575FDF"/>
    <w:rsid w:val="00584992"/>
    <w:rsid w:val="00586C33"/>
    <w:rsid w:val="0059005A"/>
    <w:rsid w:val="00591B3E"/>
    <w:rsid w:val="0059269E"/>
    <w:rsid w:val="00594337"/>
    <w:rsid w:val="0059771F"/>
    <w:rsid w:val="005979A9"/>
    <w:rsid w:val="005B7B62"/>
    <w:rsid w:val="005C1FAD"/>
    <w:rsid w:val="005C4BFF"/>
    <w:rsid w:val="005D77DF"/>
    <w:rsid w:val="005D7C92"/>
    <w:rsid w:val="005E3D36"/>
    <w:rsid w:val="005E4EEF"/>
    <w:rsid w:val="005E647D"/>
    <w:rsid w:val="005F0D8F"/>
    <w:rsid w:val="005F377C"/>
    <w:rsid w:val="00601B4F"/>
    <w:rsid w:val="006041C7"/>
    <w:rsid w:val="0060455E"/>
    <w:rsid w:val="00604F45"/>
    <w:rsid w:val="00610D02"/>
    <w:rsid w:val="00616802"/>
    <w:rsid w:val="00622C71"/>
    <w:rsid w:val="00623B6F"/>
    <w:rsid w:val="0063042C"/>
    <w:rsid w:val="00632A33"/>
    <w:rsid w:val="00636A06"/>
    <w:rsid w:val="00640002"/>
    <w:rsid w:val="0064497F"/>
    <w:rsid w:val="00644AFB"/>
    <w:rsid w:val="00664E79"/>
    <w:rsid w:val="00664EF0"/>
    <w:rsid w:val="0066578C"/>
    <w:rsid w:val="00670C56"/>
    <w:rsid w:val="006724E5"/>
    <w:rsid w:val="00676C93"/>
    <w:rsid w:val="00690B8B"/>
    <w:rsid w:val="00695E8A"/>
    <w:rsid w:val="00697D55"/>
    <w:rsid w:val="006A4B78"/>
    <w:rsid w:val="006A7260"/>
    <w:rsid w:val="006B41EB"/>
    <w:rsid w:val="006C0482"/>
    <w:rsid w:val="006C1360"/>
    <w:rsid w:val="006C37E2"/>
    <w:rsid w:val="006D7954"/>
    <w:rsid w:val="006E198A"/>
    <w:rsid w:val="006E1FB0"/>
    <w:rsid w:val="006F42E7"/>
    <w:rsid w:val="00701C19"/>
    <w:rsid w:val="0071198B"/>
    <w:rsid w:val="00715001"/>
    <w:rsid w:val="00716138"/>
    <w:rsid w:val="00732697"/>
    <w:rsid w:val="00732BA4"/>
    <w:rsid w:val="00733782"/>
    <w:rsid w:val="007454BA"/>
    <w:rsid w:val="0076053F"/>
    <w:rsid w:val="0076324B"/>
    <w:rsid w:val="00767585"/>
    <w:rsid w:val="0076790B"/>
    <w:rsid w:val="00772FB5"/>
    <w:rsid w:val="0077377A"/>
    <w:rsid w:val="007744C9"/>
    <w:rsid w:val="00782E0A"/>
    <w:rsid w:val="00783F84"/>
    <w:rsid w:val="00786B52"/>
    <w:rsid w:val="00787BD8"/>
    <w:rsid w:val="00787CB8"/>
    <w:rsid w:val="0079215C"/>
    <w:rsid w:val="007964D5"/>
    <w:rsid w:val="00796E1A"/>
    <w:rsid w:val="007A2AB5"/>
    <w:rsid w:val="007A4F17"/>
    <w:rsid w:val="007C02D0"/>
    <w:rsid w:val="007C357D"/>
    <w:rsid w:val="007C6129"/>
    <w:rsid w:val="007C7BAA"/>
    <w:rsid w:val="007D113B"/>
    <w:rsid w:val="007D6359"/>
    <w:rsid w:val="007D7FCE"/>
    <w:rsid w:val="007F169E"/>
    <w:rsid w:val="007F6A87"/>
    <w:rsid w:val="00801468"/>
    <w:rsid w:val="0080752B"/>
    <w:rsid w:val="00814813"/>
    <w:rsid w:val="00814BC4"/>
    <w:rsid w:val="00821318"/>
    <w:rsid w:val="008226F8"/>
    <w:rsid w:val="00827254"/>
    <w:rsid w:val="0083438C"/>
    <w:rsid w:val="00840D98"/>
    <w:rsid w:val="00853090"/>
    <w:rsid w:val="008560A2"/>
    <w:rsid w:val="008611B6"/>
    <w:rsid w:val="0086289D"/>
    <w:rsid w:val="008758B4"/>
    <w:rsid w:val="00882410"/>
    <w:rsid w:val="00882B4D"/>
    <w:rsid w:val="00883905"/>
    <w:rsid w:val="0088688E"/>
    <w:rsid w:val="0089457C"/>
    <w:rsid w:val="008A2656"/>
    <w:rsid w:val="008A32A0"/>
    <w:rsid w:val="008A5B0D"/>
    <w:rsid w:val="008A740F"/>
    <w:rsid w:val="008B5F09"/>
    <w:rsid w:val="008D0FB6"/>
    <w:rsid w:val="008E0990"/>
    <w:rsid w:val="008E2F59"/>
    <w:rsid w:val="008E5910"/>
    <w:rsid w:val="008E6971"/>
    <w:rsid w:val="008F10D0"/>
    <w:rsid w:val="008F32F6"/>
    <w:rsid w:val="008F6E27"/>
    <w:rsid w:val="00914251"/>
    <w:rsid w:val="00915889"/>
    <w:rsid w:val="00917C3B"/>
    <w:rsid w:val="00917F45"/>
    <w:rsid w:val="009211D8"/>
    <w:rsid w:val="009236B3"/>
    <w:rsid w:val="009302B0"/>
    <w:rsid w:val="00930913"/>
    <w:rsid w:val="0094343B"/>
    <w:rsid w:val="00951A81"/>
    <w:rsid w:val="009541E7"/>
    <w:rsid w:val="0096160A"/>
    <w:rsid w:val="00965AC5"/>
    <w:rsid w:val="009761D3"/>
    <w:rsid w:val="009774F0"/>
    <w:rsid w:val="00982C01"/>
    <w:rsid w:val="00986BC5"/>
    <w:rsid w:val="009930CE"/>
    <w:rsid w:val="00996711"/>
    <w:rsid w:val="009A003D"/>
    <w:rsid w:val="009A7C2D"/>
    <w:rsid w:val="009B0CF7"/>
    <w:rsid w:val="009B285F"/>
    <w:rsid w:val="009C0E5C"/>
    <w:rsid w:val="009C1ADC"/>
    <w:rsid w:val="009D403F"/>
    <w:rsid w:val="009D5879"/>
    <w:rsid w:val="009D6504"/>
    <w:rsid w:val="009F65AE"/>
    <w:rsid w:val="00A012BD"/>
    <w:rsid w:val="00A072CF"/>
    <w:rsid w:val="00A100F5"/>
    <w:rsid w:val="00A11DEE"/>
    <w:rsid w:val="00A11E5C"/>
    <w:rsid w:val="00A12201"/>
    <w:rsid w:val="00A13F26"/>
    <w:rsid w:val="00A22156"/>
    <w:rsid w:val="00A26B83"/>
    <w:rsid w:val="00A2747B"/>
    <w:rsid w:val="00A27720"/>
    <w:rsid w:val="00A33749"/>
    <w:rsid w:val="00A3479B"/>
    <w:rsid w:val="00A35178"/>
    <w:rsid w:val="00A40425"/>
    <w:rsid w:val="00A41709"/>
    <w:rsid w:val="00A44105"/>
    <w:rsid w:val="00A5288C"/>
    <w:rsid w:val="00A578D7"/>
    <w:rsid w:val="00A632F6"/>
    <w:rsid w:val="00A7047B"/>
    <w:rsid w:val="00A71044"/>
    <w:rsid w:val="00A71B1D"/>
    <w:rsid w:val="00A8019C"/>
    <w:rsid w:val="00A86B94"/>
    <w:rsid w:val="00A97F28"/>
    <w:rsid w:val="00AA00C1"/>
    <w:rsid w:val="00AA4EE9"/>
    <w:rsid w:val="00AA4FD8"/>
    <w:rsid w:val="00AB5271"/>
    <w:rsid w:val="00AC44B0"/>
    <w:rsid w:val="00AD4F2E"/>
    <w:rsid w:val="00AE2912"/>
    <w:rsid w:val="00AE31FA"/>
    <w:rsid w:val="00AF2A21"/>
    <w:rsid w:val="00AF3137"/>
    <w:rsid w:val="00AF4702"/>
    <w:rsid w:val="00B02D1A"/>
    <w:rsid w:val="00B032A4"/>
    <w:rsid w:val="00B12CF5"/>
    <w:rsid w:val="00B158DA"/>
    <w:rsid w:val="00B17A4B"/>
    <w:rsid w:val="00B20E41"/>
    <w:rsid w:val="00B2191C"/>
    <w:rsid w:val="00B21D5A"/>
    <w:rsid w:val="00B2425A"/>
    <w:rsid w:val="00B2439B"/>
    <w:rsid w:val="00B26FD1"/>
    <w:rsid w:val="00B3000A"/>
    <w:rsid w:val="00B33AC8"/>
    <w:rsid w:val="00B5122D"/>
    <w:rsid w:val="00B569F9"/>
    <w:rsid w:val="00B6234D"/>
    <w:rsid w:val="00B65BC8"/>
    <w:rsid w:val="00B66588"/>
    <w:rsid w:val="00B66786"/>
    <w:rsid w:val="00B72C16"/>
    <w:rsid w:val="00B73C10"/>
    <w:rsid w:val="00B749EC"/>
    <w:rsid w:val="00B77CA1"/>
    <w:rsid w:val="00B80437"/>
    <w:rsid w:val="00B855F6"/>
    <w:rsid w:val="00B90A91"/>
    <w:rsid w:val="00B93428"/>
    <w:rsid w:val="00B95332"/>
    <w:rsid w:val="00BA28DE"/>
    <w:rsid w:val="00BA36A7"/>
    <w:rsid w:val="00BA6097"/>
    <w:rsid w:val="00BA76D0"/>
    <w:rsid w:val="00BB40B2"/>
    <w:rsid w:val="00BB7888"/>
    <w:rsid w:val="00BC21C8"/>
    <w:rsid w:val="00BC2B4B"/>
    <w:rsid w:val="00BC53D2"/>
    <w:rsid w:val="00BD603D"/>
    <w:rsid w:val="00BE5B2C"/>
    <w:rsid w:val="00BF4837"/>
    <w:rsid w:val="00C063F0"/>
    <w:rsid w:val="00C12960"/>
    <w:rsid w:val="00C162D3"/>
    <w:rsid w:val="00C269C0"/>
    <w:rsid w:val="00C40145"/>
    <w:rsid w:val="00C4122B"/>
    <w:rsid w:val="00C50BFC"/>
    <w:rsid w:val="00C5429B"/>
    <w:rsid w:val="00C56242"/>
    <w:rsid w:val="00C74642"/>
    <w:rsid w:val="00C77D71"/>
    <w:rsid w:val="00C859C9"/>
    <w:rsid w:val="00C9049C"/>
    <w:rsid w:val="00C94A37"/>
    <w:rsid w:val="00C951E3"/>
    <w:rsid w:val="00CA1498"/>
    <w:rsid w:val="00CA3C7C"/>
    <w:rsid w:val="00CB4505"/>
    <w:rsid w:val="00CC6D79"/>
    <w:rsid w:val="00CD3410"/>
    <w:rsid w:val="00CD5365"/>
    <w:rsid w:val="00CE214B"/>
    <w:rsid w:val="00CE27F3"/>
    <w:rsid w:val="00CF115B"/>
    <w:rsid w:val="00CF1D08"/>
    <w:rsid w:val="00CF53D0"/>
    <w:rsid w:val="00CF6788"/>
    <w:rsid w:val="00CF7D31"/>
    <w:rsid w:val="00D023F4"/>
    <w:rsid w:val="00D1064B"/>
    <w:rsid w:val="00D21D1F"/>
    <w:rsid w:val="00D221DB"/>
    <w:rsid w:val="00D25EB7"/>
    <w:rsid w:val="00D271E7"/>
    <w:rsid w:val="00D3047B"/>
    <w:rsid w:val="00D32D70"/>
    <w:rsid w:val="00D4046B"/>
    <w:rsid w:val="00D44283"/>
    <w:rsid w:val="00D55D3D"/>
    <w:rsid w:val="00D608CB"/>
    <w:rsid w:val="00D60E19"/>
    <w:rsid w:val="00D63C0C"/>
    <w:rsid w:val="00D66BB2"/>
    <w:rsid w:val="00D66F28"/>
    <w:rsid w:val="00D73B5B"/>
    <w:rsid w:val="00D741EF"/>
    <w:rsid w:val="00D764E2"/>
    <w:rsid w:val="00D957C9"/>
    <w:rsid w:val="00DA7A61"/>
    <w:rsid w:val="00DB042F"/>
    <w:rsid w:val="00DB68AD"/>
    <w:rsid w:val="00DD4CF7"/>
    <w:rsid w:val="00DE1F65"/>
    <w:rsid w:val="00DE7D2F"/>
    <w:rsid w:val="00DF0F1C"/>
    <w:rsid w:val="00DF5A72"/>
    <w:rsid w:val="00E0240E"/>
    <w:rsid w:val="00E02E95"/>
    <w:rsid w:val="00E0371C"/>
    <w:rsid w:val="00E130F4"/>
    <w:rsid w:val="00E15590"/>
    <w:rsid w:val="00E16F7A"/>
    <w:rsid w:val="00E176B1"/>
    <w:rsid w:val="00E261C2"/>
    <w:rsid w:val="00E26C1E"/>
    <w:rsid w:val="00E34F74"/>
    <w:rsid w:val="00E3671A"/>
    <w:rsid w:val="00E3768F"/>
    <w:rsid w:val="00E510F7"/>
    <w:rsid w:val="00E547F0"/>
    <w:rsid w:val="00E6300E"/>
    <w:rsid w:val="00E65209"/>
    <w:rsid w:val="00E70B00"/>
    <w:rsid w:val="00E7123C"/>
    <w:rsid w:val="00E71487"/>
    <w:rsid w:val="00E76826"/>
    <w:rsid w:val="00E85532"/>
    <w:rsid w:val="00E94558"/>
    <w:rsid w:val="00E9656D"/>
    <w:rsid w:val="00E97064"/>
    <w:rsid w:val="00E97673"/>
    <w:rsid w:val="00EA14B0"/>
    <w:rsid w:val="00EA5334"/>
    <w:rsid w:val="00EB45B5"/>
    <w:rsid w:val="00EC4DD8"/>
    <w:rsid w:val="00EC4F50"/>
    <w:rsid w:val="00EE1E85"/>
    <w:rsid w:val="00EE6E8E"/>
    <w:rsid w:val="00EF139C"/>
    <w:rsid w:val="00EF236A"/>
    <w:rsid w:val="00EF2DE2"/>
    <w:rsid w:val="00F0187E"/>
    <w:rsid w:val="00F054D5"/>
    <w:rsid w:val="00F12295"/>
    <w:rsid w:val="00F14F1F"/>
    <w:rsid w:val="00F219BE"/>
    <w:rsid w:val="00F21C67"/>
    <w:rsid w:val="00F3196A"/>
    <w:rsid w:val="00F364DA"/>
    <w:rsid w:val="00F36699"/>
    <w:rsid w:val="00F36BAA"/>
    <w:rsid w:val="00F515A7"/>
    <w:rsid w:val="00F560FE"/>
    <w:rsid w:val="00F569FA"/>
    <w:rsid w:val="00F61465"/>
    <w:rsid w:val="00F64D85"/>
    <w:rsid w:val="00F653F0"/>
    <w:rsid w:val="00F770EF"/>
    <w:rsid w:val="00F80DD9"/>
    <w:rsid w:val="00F82C5C"/>
    <w:rsid w:val="00F83DC1"/>
    <w:rsid w:val="00F90ABB"/>
    <w:rsid w:val="00F934FF"/>
    <w:rsid w:val="00F94916"/>
    <w:rsid w:val="00F97B7F"/>
    <w:rsid w:val="00FA7AD9"/>
    <w:rsid w:val="00FB2B11"/>
    <w:rsid w:val="00FB2ECB"/>
    <w:rsid w:val="00FB7F36"/>
    <w:rsid w:val="00FC39D2"/>
    <w:rsid w:val="00FC6204"/>
    <w:rsid w:val="00FC6809"/>
    <w:rsid w:val="00FC6B8A"/>
    <w:rsid w:val="00FD2931"/>
    <w:rsid w:val="00FD586D"/>
    <w:rsid w:val="00FE1672"/>
    <w:rsid w:val="00FE1F04"/>
    <w:rsid w:val="00FE2AF5"/>
    <w:rsid w:val="00FE7F2E"/>
    <w:rsid w:val="00FF69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C395"/>
  <w15:chartTrackingRefBased/>
  <w15:docId w15:val="{F1F27753-ED5F-4A39-AABA-FA9F8541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0A0"/>
    <w:pPr>
      <w:spacing w:after="0" w:line="300" w:lineRule="auto"/>
      <w:jc w:val="both"/>
    </w:pPr>
    <w:rPr>
      <w:sz w:val="24"/>
    </w:rPr>
  </w:style>
  <w:style w:type="paragraph" w:styleId="Heading2">
    <w:name w:val="heading 2"/>
    <w:basedOn w:val="Normal"/>
    <w:next w:val="Normal"/>
    <w:link w:val="Heading2Char"/>
    <w:autoRedefine/>
    <w:uiPriority w:val="9"/>
    <w:unhideWhenUsed/>
    <w:qFormat/>
    <w:rsid w:val="001F00A0"/>
    <w:pPr>
      <w:keepNext/>
      <w:keepLines/>
      <w:outlineLvl w:val="1"/>
    </w:pPr>
    <w:rPr>
      <w:rFonts w:asciiTheme="majorHAnsi" w:eastAsiaTheme="majorEastAsia" w:hAnsiTheme="majorHAnsi" w:cstheme="majorBidi"/>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pcode">
    <w:name w:val="Compcode"/>
    <w:basedOn w:val="DefaultParagraphFont"/>
    <w:uiPriority w:val="1"/>
    <w:qFormat/>
    <w:rsid w:val="00112F97"/>
    <w:rPr>
      <w:rFonts w:ascii="Courier New" w:hAnsi="Courier New"/>
    </w:rPr>
  </w:style>
  <w:style w:type="character" w:customStyle="1" w:styleId="Heading2Char">
    <w:name w:val="Heading 2 Char"/>
    <w:basedOn w:val="DefaultParagraphFont"/>
    <w:link w:val="Heading2"/>
    <w:uiPriority w:val="9"/>
    <w:rsid w:val="001F00A0"/>
    <w:rPr>
      <w:rFonts w:asciiTheme="majorHAnsi" w:eastAsiaTheme="majorEastAsia" w:hAnsiTheme="majorHAnsi" w:cstheme="majorBidi"/>
      <w:i/>
      <w:sz w:val="26"/>
      <w:szCs w:val="26"/>
    </w:rPr>
  </w:style>
  <w:style w:type="table" w:styleId="TableGrid">
    <w:name w:val="Table Grid"/>
    <w:basedOn w:val="TableNormal"/>
    <w:uiPriority w:val="39"/>
    <w:rsid w:val="001F00A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67FD"/>
    <w:rPr>
      <w:color w:val="808080"/>
    </w:rPr>
  </w:style>
  <w:style w:type="paragraph" w:styleId="ListParagraph">
    <w:name w:val="List Paragraph"/>
    <w:basedOn w:val="Normal"/>
    <w:uiPriority w:val="34"/>
    <w:qFormat/>
    <w:rsid w:val="005248F0"/>
    <w:pPr>
      <w:ind w:left="720"/>
      <w:contextualSpacing/>
    </w:pPr>
  </w:style>
  <w:style w:type="paragraph" w:styleId="BalloonText">
    <w:name w:val="Balloon Text"/>
    <w:basedOn w:val="Normal"/>
    <w:link w:val="BalloonTextChar"/>
    <w:uiPriority w:val="99"/>
    <w:semiHidden/>
    <w:unhideWhenUsed/>
    <w:rsid w:val="009D58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879"/>
    <w:rPr>
      <w:rFonts w:ascii="Segoe UI" w:hAnsi="Segoe UI" w:cs="Segoe UI"/>
      <w:sz w:val="18"/>
      <w:szCs w:val="18"/>
    </w:rPr>
  </w:style>
  <w:style w:type="table" w:customStyle="1" w:styleId="TableGrid1">
    <w:name w:val="Table Grid1"/>
    <w:basedOn w:val="TableNormal"/>
    <w:next w:val="TableGrid"/>
    <w:uiPriority w:val="39"/>
    <w:rsid w:val="00F364D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DF0F1C"/>
  </w:style>
  <w:style w:type="character" w:customStyle="1" w:styleId="jrnl">
    <w:name w:val="jrnl"/>
    <w:basedOn w:val="DefaultParagraphFont"/>
    <w:rsid w:val="00081903"/>
  </w:style>
  <w:style w:type="paragraph" w:styleId="NormalWeb">
    <w:name w:val="Normal (Web)"/>
    <w:basedOn w:val="Normal"/>
    <w:uiPriority w:val="99"/>
    <w:semiHidden/>
    <w:unhideWhenUsed/>
    <w:rsid w:val="00BA36A7"/>
    <w:pPr>
      <w:spacing w:before="100" w:beforeAutospacing="1" w:after="100" w:afterAutospacing="1" w:line="240" w:lineRule="auto"/>
      <w:jc w:val="left"/>
    </w:pPr>
    <w:rPr>
      <w:rFonts w:ascii="Times New Roman" w:eastAsiaTheme="minorEastAsia" w:hAnsi="Times New Roman" w:cs="Times New Roman"/>
      <w:szCs w:val="24"/>
      <w:lang w:eastAsia="en-GB"/>
    </w:rPr>
  </w:style>
  <w:style w:type="character" w:styleId="Hyperlink">
    <w:name w:val="Hyperlink"/>
    <w:basedOn w:val="DefaultParagraphFont"/>
    <w:uiPriority w:val="99"/>
    <w:unhideWhenUsed/>
    <w:rsid w:val="000C5427"/>
    <w:rPr>
      <w:color w:val="0563C1" w:themeColor="hyperlink"/>
      <w:u w:val="single"/>
    </w:rPr>
  </w:style>
  <w:style w:type="character" w:styleId="FollowedHyperlink">
    <w:name w:val="FollowedHyperlink"/>
    <w:basedOn w:val="DefaultParagraphFont"/>
    <w:uiPriority w:val="99"/>
    <w:semiHidden/>
    <w:unhideWhenUsed/>
    <w:rsid w:val="000C5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8886">
      <w:bodyDiv w:val="1"/>
      <w:marLeft w:val="0"/>
      <w:marRight w:val="0"/>
      <w:marTop w:val="0"/>
      <w:marBottom w:val="0"/>
      <w:divBdr>
        <w:top w:val="none" w:sz="0" w:space="0" w:color="auto"/>
        <w:left w:val="none" w:sz="0" w:space="0" w:color="auto"/>
        <w:bottom w:val="none" w:sz="0" w:space="0" w:color="auto"/>
        <w:right w:val="none" w:sz="0" w:space="0" w:color="auto"/>
      </w:divBdr>
    </w:div>
    <w:div w:id="747458662">
      <w:bodyDiv w:val="1"/>
      <w:marLeft w:val="0"/>
      <w:marRight w:val="0"/>
      <w:marTop w:val="0"/>
      <w:marBottom w:val="0"/>
      <w:divBdr>
        <w:top w:val="none" w:sz="0" w:space="0" w:color="auto"/>
        <w:left w:val="none" w:sz="0" w:space="0" w:color="auto"/>
        <w:bottom w:val="none" w:sz="0" w:space="0" w:color="auto"/>
        <w:right w:val="none" w:sz="0" w:space="0" w:color="auto"/>
      </w:divBdr>
    </w:div>
    <w:div w:id="879244749">
      <w:bodyDiv w:val="1"/>
      <w:marLeft w:val="0"/>
      <w:marRight w:val="0"/>
      <w:marTop w:val="0"/>
      <w:marBottom w:val="0"/>
      <w:divBdr>
        <w:top w:val="none" w:sz="0" w:space="0" w:color="auto"/>
        <w:left w:val="none" w:sz="0" w:space="0" w:color="auto"/>
        <w:bottom w:val="none" w:sz="0" w:space="0" w:color="auto"/>
        <w:right w:val="none" w:sz="0" w:space="0" w:color="auto"/>
      </w:divBdr>
    </w:div>
    <w:div w:id="1204292745">
      <w:bodyDiv w:val="1"/>
      <w:marLeft w:val="0"/>
      <w:marRight w:val="0"/>
      <w:marTop w:val="0"/>
      <w:marBottom w:val="0"/>
      <w:divBdr>
        <w:top w:val="none" w:sz="0" w:space="0" w:color="auto"/>
        <w:left w:val="none" w:sz="0" w:space="0" w:color="auto"/>
        <w:bottom w:val="none" w:sz="0" w:space="0" w:color="auto"/>
        <w:right w:val="none" w:sz="0" w:space="0" w:color="auto"/>
      </w:divBdr>
    </w:div>
    <w:div w:id="1243220642">
      <w:bodyDiv w:val="1"/>
      <w:marLeft w:val="0"/>
      <w:marRight w:val="0"/>
      <w:marTop w:val="0"/>
      <w:marBottom w:val="0"/>
      <w:divBdr>
        <w:top w:val="none" w:sz="0" w:space="0" w:color="auto"/>
        <w:left w:val="none" w:sz="0" w:space="0" w:color="auto"/>
        <w:bottom w:val="none" w:sz="0" w:space="0" w:color="auto"/>
        <w:right w:val="none" w:sz="0" w:space="0" w:color="auto"/>
      </w:divBdr>
    </w:div>
    <w:div w:id="1290474512">
      <w:bodyDiv w:val="1"/>
      <w:marLeft w:val="0"/>
      <w:marRight w:val="0"/>
      <w:marTop w:val="0"/>
      <w:marBottom w:val="0"/>
      <w:divBdr>
        <w:top w:val="none" w:sz="0" w:space="0" w:color="auto"/>
        <w:left w:val="none" w:sz="0" w:space="0" w:color="auto"/>
        <w:bottom w:val="none" w:sz="0" w:space="0" w:color="auto"/>
        <w:right w:val="none" w:sz="0" w:space="0" w:color="auto"/>
      </w:divBdr>
    </w:div>
    <w:div w:id="1359745299">
      <w:bodyDiv w:val="1"/>
      <w:marLeft w:val="0"/>
      <w:marRight w:val="0"/>
      <w:marTop w:val="0"/>
      <w:marBottom w:val="0"/>
      <w:divBdr>
        <w:top w:val="none" w:sz="0" w:space="0" w:color="auto"/>
        <w:left w:val="none" w:sz="0" w:space="0" w:color="auto"/>
        <w:bottom w:val="none" w:sz="0" w:space="0" w:color="auto"/>
        <w:right w:val="none" w:sz="0" w:space="0" w:color="auto"/>
      </w:divBdr>
    </w:div>
    <w:div w:id="1391539314">
      <w:bodyDiv w:val="1"/>
      <w:marLeft w:val="0"/>
      <w:marRight w:val="0"/>
      <w:marTop w:val="0"/>
      <w:marBottom w:val="0"/>
      <w:divBdr>
        <w:top w:val="none" w:sz="0" w:space="0" w:color="auto"/>
        <w:left w:val="none" w:sz="0" w:space="0" w:color="auto"/>
        <w:bottom w:val="none" w:sz="0" w:space="0" w:color="auto"/>
        <w:right w:val="none" w:sz="0" w:space="0" w:color="auto"/>
      </w:divBdr>
    </w:div>
    <w:div w:id="1445349004">
      <w:bodyDiv w:val="1"/>
      <w:marLeft w:val="0"/>
      <w:marRight w:val="0"/>
      <w:marTop w:val="0"/>
      <w:marBottom w:val="0"/>
      <w:divBdr>
        <w:top w:val="none" w:sz="0" w:space="0" w:color="auto"/>
        <w:left w:val="none" w:sz="0" w:space="0" w:color="auto"/>
        <w:bottom w:val="none" w:sz="0" w:space="0" w:color="auto"/>
        <w:right w:val="none" w:sz="0" w:space="0" w:color="auto"/>
      </w:divBdr>
    </w:div>
    <w:div w:id="1621454785">
      <w:bodyDiv w:val="1"/>
      <w:marLeft w:val="0"/>
      <w:marRight w:val="0"/>
      <w:marTop w:val="0"/>
      <w:marBottom w:val="0"/>
      <w:divBdr>
        <w:top w:val="none" w:sz="0" w:space="0" w:color="auto"/>
        <w:left w:val="none" w:sz="0" w:space="0" w:color="auto"/>
        <w:bottom w:val="none" w:sz="0" w:space="0" w:color="auto"/>
        <w:right w:val="none" w:sz="0" w:space="0" w:color="auto"/>
      </w:divBdr>
    </w:div>
    <w:div w:id="2041740399">
      <w:bodyDiv w:val="1"/>
      <w:marLeft w:val="0"/>
      <w:marRight w:val="0"/>
      <w:marTop w:val="0"/>
      <w:marBottom w:val="0"/>
      <w:divBdr>
        <w:top w:val="none" w:sz="0" w:space="0" w:color="auto"/>
        <w:left w:val="none" w:sz="0" w:space="0" w:color="auto"/>
        <w:bottom w:val="none" w:sz="0" w:space="0" w:color="auto"/>
        <w:right w:val="none" w:sz="0" w:space="0" w:color="auto"/>
      </w:divBdr>
    </w:div>
    <w:div w:id="21139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book-5-1.cochrane.org/chapter_7/7_6_2_who_should_extract_data.htm" TargetMode="External"/><Relationship Id="rId13" Type="http://schemas.openxmlformats.org/officeDocument/2006/relationships/hyperlink" Target="https://www.ncbi.nlm.nih.gov/pubmed/17485570"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conted.ox.ac.uk/about/msc-in-ebhc-medical-statistics" TargetMode="External"/><Relationship Id="rId7" Type="http://schemas.openxmlformats.org/officeDocument/2006/relationships/hyperlink" Target="https://bit.ly/2Xep0tJ" TargetMode="External"/><Relationship Id="rId12" Type="http://schemas.openxmlformats.org/officeDocument/2006/relationships/hyperlink" Target="http://www.consort-statement.org/" TargetMode="External"/><Relationship Id="rId17" Type="http://schemas.openxmlformats.org/officeDocument/2006/relationships/hyperlink" Target="https://www.ncbi.nlm.nih.gov/pubmed/25984791" TargetMode="External"/><Relationship Id="rId2" Type="http://schemas.openxmlformats.org/officeDocument/2006/relationships/numbering" Target="numbering.xml"/><Relationship Id="rId16" Type="http://schemas.openxmlformats.org/officeDocument/2006/relationships/hyperlink" Target="https://www.ncbi.nlm.nih.gov/pubmed/9310564" TargetMode="External"/><Relationship Id="rId20" Type="http://schemas.openxmlformats.org/officeDocument/2006/relationships/hyperlink" Target="https://www.conted.ox.ac.uk/about/msc-in-evidence-based-health-car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ndmemo.com/medical/unitconve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9310564" TargetMode="External"/><Relationship Id="rId23" Type="http://schemas.openxmlformats.org/officeDocument/2006/relationships/fontTable" Target="fontTable.xml"/><Relationship Id="rId10" Type="http://schemas.openxmlformats.org/officeDocument/2006/relationships/hyperlink" Target="https://www.ncbi.nlm.nih.gov/pubmed/22189841" TargetMode="External"/><Relationship Id="rId19" Type="http://schemas.openxmlformats.org/officeDocument/2006/relationships/hyperlink" Target="https://www.conted.ox.ac.uk/courses/meta-analysis%3c/li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conted.ox.ac.uk/about/msc-in-ebhc-systematic-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D3471AA-8186-405F-9F12-61125D7F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Stevens</dc:creator>
  <cp:keywords/>
  <dc:description/>
  <cp:lastModifiedBy>Alice Crouch</cp:lastModifiedBy>
  <cp:revision>3</cp:revision>
  <cp:lastPrinted>2019-01-14T23:01:00Z</cp:lastPrinted>
  <dcterms:created xsi:type="dcterms:W3CDTF">2019-07-08T15:37:00Z</dcterms:created>
  <dcterms:modified xsi:type="dcterms:W3CDTF">2019-10-02T09:36:00Z</dcterms:modified>
</cp:coreProperties>
</file>